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SPRAINS</w:t>
      </w:r>
    </w:p>
    <w:p>
      <w:pPr>
        <w:pStyle w:val="Heading1"/>
        <w:spacing w:after="80"/>
      </w:pPr>
      <w:r>
        <w:rPr>
          <w:rFonts w:ascii="Calibri" w:cs="Calibri" w:eastAsia="Calibri" w:hAnsi="Calibri"/>
          <w:b/>
          <w:bCs/>
          <w:color w:val="1B3A4B"/>
          <w:sz w:val="48"/>
          <w:szCs w:val="48"/>
        </w:rPr>
        <w:t xml:space="preserve">After the Swelling Settles</w:t>
      </w:r>
    </w:p>
    <w:p>
      <w:pPr>
        <w:pBdr>
          <w:bottom w:val="single" w:color="C45C26" w:sz="18" w:space="4"/>
        </w:pBdr>
        <w:spacing w:after="200"/>
      </w:pPr>
      <w:r>
        <w:rPr>
          <w:rFonts w:ascii="Calibri" w:cs="Calibri" w:eastAsia="Calibri" w:hAnsi="Calibri"/>
          <w:i/>
          <w:iCs/>
          <w:color w:val="2A6F7F"/>
          <w:sz w:val="24"/>
          <w:szCs w:val="24"/>
        </w:rPr>
        <w:t xml:space="preserve">Sprains, residual restriction, and how Structural Integration supports later recovery</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A sprain is a stretch or tear of a ligament — the tissue that connects bone to bone. Ankles, wrists, and knees are common sites. Mild sprains often improve with rest, ice, compression, and elevation. Moderate or severe ones need medical evaluation to rule out fracture or significant instability. Hands-on work has no role in the first days when swelling and inflammation are active. Once the acute phase has passed and medical clearance is in place, residual tightness and compensatory patterns can limit full return to movement.</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do not treat acute sprains. We work later in recovery, after swelling has settled and the person is under appropriate medical or physical therapy care, to address residual fascial restriction and the way the body has adapted around the injury. Structural Integration is complementary. It does not replace medical evaluation, bracing, or rehabilitation exercises.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a sprain usually involves</w:t>
      </w:r>
    </w:p>
    <w:p>
      <w:pPr>
        <w:spacing w:after="200" w:before="0" w:line="276"/>
      </w:pPr>
      <w:r>
        <w:rPr>
          <w:rFonts w:ascii="Calibri" w:cs="Calibri" w:eastAsia="Calibri" w:hAnsi="Calibri"/>
          <w:b w:val="false"/>
          <w:bCs w:val="false"/>
          <w:i w:val="false"/>
          <w:iCs w:val="false"/>
          <w:color w:val="3D4A52"/>
          <w:sz w:val="22"/>
          <w:szCs w:val="22"/>
        </w:rPr>
        <w:t xml:space="preserve">Sprains are graded by severity:</w:t>
      </w:r>
    </w:p>
    <w:p>
      <w:pPr>
        <w:pStyle w:val="ListParagraph"/>
        <w:numPr>
          <w:ilvl w:val="0"/>
          <w:numId w:val="2"/>
        </w:numPr>
        <w:spacing w:after="80" w:line="276"/>
      </w:pPr>
      <w:r>
        <w:rPr>
          <w:rFonts w:ascii="Calibri" w:cs="Calibri" w:eastAsia="Calibri" w:hAnsi="Calibri"/>
          <w:b/>
          <w:bCs/>
          <w:color w:val="3D4A52"/>
          <w:sz w:val="22"/>
          <w:szCs w:val="22"/>
        </w:rPr>
        <w:t xml:space="preserve">Grade 1 (mild). </w:t>
      </w:r>
      <w:r>
        <w:rPr>
          <w:rFonts w:ascii="Calibri" w:cs="Calibri" w:eastAsia="Calibri" w:hAnsi="Calibri"/>
          <w:color w:val="3D4A52"/>
          <w:sz w:val="22"/>
          <w:szCs w:val="22"/>
        </w:rPr>
        <w:t xml:space="preserve">Ligament stretched with little or no tear. Mild swelling and tenderness; joint remains stable.</w:t>
      </w:r>
    </w:p>
    <w:p>
      <w:pPr>
        <w:pStyle w:val="ListParagraph"/>
        <w:numPr>
          <w:ilvl w:val="0"/>
          <w:numId w:val="2"/>
        </w:numPr>
        <w:spacing w:after="80" w:line="276"/>
      </w:pPr>
      <w:r>
        <w:rPr>
          <w:rFonts w:ascii="Calibri" w:cs="Calibri" w:eastAsia="Calibri" w:hAnsi="Calibri"/>
          <w:b/>
          <w:bCs/>
          <w:color w:val="3D4A52"/>
          <w:sz w:val="22"/>
          <w:szCs w:val="22"/>
        </w:rPr>
        <w:t xml:space="preserve">Grade 2 (moderate). </w:t>
      </w:r>
      <w:r>
        <w:rPr>
          <w:rFonts w:ascii="Calibri" w:cs="Calibri" w:eastAsia="Calibri" w:hAnsi="Calibri"/>
          <w:color w:val="3D4A52"/>
          <w:sz w:val="22"/>
          <w:szCs w:val="22"/>
        </w:rPr>
        <w:t xml:space="preserve">Partial tear. More swelling, bruising, and some instability.</w:t>
      </w:r>
    </w:p>
    <w:p>
      <w:pPr>
        <w:pStyle w:val="ListParagraph"/>
        <w:numPr>
          <w:ilvl w:val="0"/>
          <w:numId w:val="2"/>
        </w:numPr>
        <w:spacing w:after="80" w:line="276"/>
      </w:pPr>
      <w:r>
        <w:rPr>
          <w:rFonts w:ascii="Calibri" w:cs="Calibri" w:eastAsia="Calibri" w:hAnsi="Calibri"/>
          <w:b/>
          <w:bCs/>
          <w:color w:val="3D4A52"/>
          <w:sz w:val="22"/>
          <w:szCs w:val="22"/>
        </w:rPr>
        <w:t xml:space="preserve">Grade 3 (severe). </w:t>
      </w:r>
      <w:r>
        <w:rPr>
          <w:rFonts w:ascii="Calibri" w:cs="Calibri" w:eastAsia="Calibri" w:hAnsi="Calibri"/>
          <w:color w:val="3D4A52"/>
          <w:sz w:val="22"/>
          <w:szCs w:val="22"/>
        </w:rPr>
        <w:t xml:space="preserve">Complete tear. Significant swelling, instability, and often inability to bear weight or use the joint normally.</w:t>
      </w:r>
    </w:p>
    <w:p>
      <w:pPr>
        <w:spacing w:after="200" w:before="0" w:line="276"/>
      </w:pPr>
      <w:r>
        <w:rPr>
          <w:rFonts w:ascii="Calibri" w:cs="Calibri" w:eastAsia="Calibri" w:hAnsi="Calibri"/>
          <w:b w:val="false"/>
          <w:bCs w:val="false"/>
          <w:i w:val="false"/>
          <w:iCs w:val="false"/>
          <w:color w:val="3D4A52"/>
          <w:sz w:val="22"/>
          <w:szCs w:val="22"/>
        </w:rPr>
        <w:t xml:space="preserve">Initial care follows the RICE or PRICE approach: protection or rest, ice, compression, and elevation. Over-the-counter pain relief may help if appropriate. As pain and swelling decrease, gradual return to movement is guided by a clinician or physical therapist. Full recovery can take days to months depending on grade and location.</w:t>
      </w:r>
    </w:p>
    <w:p>
      <w:pPr>
        <w:pStyle w:val="Heading3"/>
        <w:spacing w:after="100" w:before="260"/>
      </w:pPr>
      <w:r>
        <w:rPr>
          <w:rFonts w:ascii="Calibri" w:cs="Calibri" w:eastAsia="Calibri" w:hAnsi="Calibri"/>
          <w:b/>
          <w:bCs/>
          <w:color w:val="2A6F7F"/>
          <w:sz w:val="24"/>
          <w:szCs w:val="24"/>
        </w:rPr>
        <w:t xml:space="preserve">When to get medical care first</w:t>
      </w:r>
    </w:p>
    <w:p>
      <w:pPr>
        <w:spacing w:after="200" w:before="0" w:line="276"/>
      </w:pPr>
      <w:r>
        <w:rPr>
          <w:rFonts w:ascii="Calibri" w:cs="Calibri" w:eastAsia="Calibri" w:hAnsi="Calibri"/>
          <w:b w:val="false"/>
          <w:bCs w:val="false"/>
          <w:i w:val="false"/>
          <w:iCs w:val="false"/>
          <w:color w:val="3D4A52"/>
          <w:sz w:val="22"/>
          <w:szCs w:val="22"/>
        </w:rPr>
        <w:t xml:space="preserve">Seek prompt evaluation for inability to bear weight or use the joint, severe or worsening pain, visible deformity, significant swelling or bruising that is increasing, numbness, coldness, or color change in the limb, or symptoms that do not improve within a few days. X-rays or other imaging may be needed to rule out fracture. Structural Integration is not appropriate during the acute inflammatory phase or for undiagnosed instability.</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residual issues often linger</w:t>
      </w:r>
    </w:p>
    <w:p>
      <w:pPr>
        <w:spacing w:after="200" w:before="0" w:line="276"/>
      </w:pPr>
      <w:r>
        <w:rPr>
          <w:rFonts w:ascii="Calibri" w:cs="Calibri" w:eastAsia="Calibri" w:hAnsi="Calibri"/>
          <w:b w:val="false"/>
          <w:bCs w:val="false"/>
          <w:i w:val="false"/>
          <w:iCs w:val="false"/>
          <w:color w:val="3D4A52"/>
          <w:sz w:val="22"/>
          <w:szCs w:val="22"/>
        </w:rPr>
        <w:t xml:space="preserve">Even after the ligament begins to heal, the surrounding fascia and muscles can remain restricted. People often protect the area by changing how they walk, stand, or use the arm. That protective pattern can create secondary tightness elsewhere — in the opposite hip, the low back, the shoulder, or the opposite foot. Local care that only focuses on the injured joint may miss these compensations.</w:t>
      </w:r>
    </w:p>
    <w:p>
      <w:pPr>
        <w:spacing w:after="200" w:before="0" w:line="276"/>
      </w:pPr>
      <w:r>
        <w:rPr>
          <w:rFonts w:ascii="Calibri" w:cs="Calibri" w:eastAsia="Calibri" w:hAnsi="Calibri"/>
          <w:b w:val="false"/>
          <w:bCs w:val="false"/>
          <w:i w:val="false"/>
          <w:iCs w:val="false"/>
          <w:color w:val="3D4A52"/>
          <w:sz w:val="22"/>
          <w:szCs w:val="22"/>
        </w:rPr>
        <w:t xml:space="preserve">Common residual patterns we see later in recovery:</w:t>
      </w:r>
    </w:p>
    <w:p>
      <w:pPr>
        <w:pStyle w:val="ListParagraph"/>
        <w:numPr>
          <w:ilvl w:val="0"/>
          <w:numId w:val="2"/>
        </w:numPr>
        <w:spacing w:after="80" w:line="276"/>
      </w:pPr>
      <w:r>
        <w:rPr>
          <w:rFonts w:ascii="Calibri" w:cs="Calibri" w:eastAsia="Calibri" w:hAnsi="Calibri"/>
          <w:b/>
          <w:bCs/>
          <w:color w:val="3D4A52"/>
          <w:sz w:val="22"/>
          <w:szCs w:val="22"/>
        </w:rPr>
        <w:t xml:space="preserve">Local fascial density around the healed ligament and neighboring tissues.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Guarding in muscles that stabilized the joint during the acute phase.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Altered movement patterns that reload other areas.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Reduced proprioception or confidence in the joint.</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Addressing only the original site without looking at the whole pattern can leave residual restriction that limits full function or sets up later strain.</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later recovery</w:t>
      </w:r>
    </w:p>
    <w:p>
      <w:pPr>
        <w:spacing w:after="200" w:before="0" w:line="276"/>
      </w:pPr>
      <w:r>
        <w:rPr>
          <w:rFonts w:ascii="Calibri" w:cs="Calibri" w:eastAsia="Calibri" w:hAnsi="Calibri"/>
          <w:b w:val="false"/>
          <w:bCs w:val="false"/>
          <w:i w:val="false"/>
          <w:iCs w:val="false"/>
          <w:color w:val="3D4A52"/>
          <w:sz w:val="22"/>
          <w:szCs w:val="22"/>
        </w:rPr>
        <w:t xml:space="preserve">Sessions are timed after the acute phase, once swelling is down and medical or PT clearance is obtained. Work is paced carefully and never forced into painful or unstable ranges. Typical elements include:</w:t>
      </w:r>
    </w:p>
    <w:p>
      <w:pPr>
        <w:pStyle w:val="Heading3"/>
        <w:spacing w:after="100" w:before="260"/>
      </w:pPr>
      <w:r>
        <w:rPr>
          <w:rFonts w:ascii="Calibri" w:cs="Calibri" w:eastAsia="Calibri" w:hAnsi="Calibri"/>
          <w:b/>
          <w:bCs/>
          <w:color w:val="2A6F7F"/>
          <w:sz w:val="24"/>
          <w:szCs w:val="24"/>
        </w:rPr>
        <w:t xml:space="preserve">1. Whole-body assessment</w:t>
      </w:r>
    </w:p>
    <w:p>
      <w:pPr>
        <w:spacing w:after="200" w:before="0" w:line="276"/>
      </w:pPr>
      <w:r>
        <w:rPr>
          <w:rFonts w:ascii="Calibri" w:cs="Calibri" w:eastAsia="Calibri" w:hAnsi="Calibri"/>
          <w:b w:val="false"/>
          <w:bCs w:val="false"/>
          <w:i w:val="false"/>
          <w:iCs w:val="false"/>
          <w:color w:val="3D4A52"/>
          <w:sz w:val="22"/>
          <w:szCs w:val="22"/>
        </w:rPr>
        <w:t xml:space="preserve">We look at how you stand and move, not only at the sprained joint. Compensations in the pelvis, trunk, shoulders, or opposite limb are part of the map.</w:t>
      </w:r>
    </w:p>
    <w:p>
      <w:pPr>
        <w:pStyle w:val="Heading3"/>
        <w:spacing w:after="100" w:before="260"/>
      </w:pPr>
      <w:r>
        <w:rPr>
          <w:rFonts w:ascii="Calibri" w:cs="Calibri" w:eastAsia="Calibri" w:hAnsi="Calibri"/>
          <w:b/>
          <w:bCs/>
          <w:color w:val="2A6F7F"/>
          <w:sz w:val="24"/>
          <w:szCs w:val="24"/>
        </w:rPr>
        <w:t xml:space="preserve">2. Gentle work on residual restriction</w:t>
      </w:r>
    </w:p>
    <w:p>
      <w:pPr>
        <w:spacing w:after="200" w:before="0" w:line="276"/>
      </w:pPr>
      <w:r>
        <w:rPr>
          <w:rFonts w:ascii="Calibri" w:cs="Calibri" w:eastAsia="Calibri" w:hAnsi="Calibri"/>
          <w:b w:val="false"/>
          <w:bCs w:val="false"/>
          <w:i w:val="false"/>
          <w:iCs w:val="false"/>
          <w:color w:val="3D4A52"/>
          <w:sz w:val="22"/>
          <w:szCs w:val="22"/>
        </w:rPr>
        <w:t xml:space="preserve">Once healing is underway, specific fascial techniques can restore better glide around the injury site and in related chains. Pressure stays within comfort and is adjusted continuously. The goal is improved tissue quality and movement, not aggressive stretching of a recently injured ligament.</w:t>
      </w:r>
    </w:p>
    <w:p>
      <w:pPr>
        <w:pStyle w:val="Heading3"/>
        <w:spacing w:after="100" w:before="260"/>
      </w:pPr>
      <w:r>
        <w:rPr>
          <w:rFonts w:ascii="Calibri" w:cs="Calibri" w:eastAsia="Calibri" w:hAnsi="Calibri"/>
          <w:b/>
          <w:bCs/>
          <w:color w:val="2A6F7F"/>
          <w:sz w:val="24"/>
          <w:szCs w:val="24"/>
        </w:rPr>
        <w:t xml:space="preserve">3. Addressing compensatory chains</w:t>
      </w:r>
    </w:p>
    <w:p>
      <w:pPr>
        <w:spacing w:after="200" w:before="0" w:line="276"/>
      </w:pPr>
      <w:r>
        <w:rPr>
          <w:rFonts w:ascii="Calibri" w:cs="Calibri" w:eastAsia="Calibri" w:hAnsi="Calibri"/>
          <w:b w:val="false"/>
          <w:bCs w:val="false"/>
          <w:i w:val="false"/>
          <w:iCs w:val="false"/>
          <w:color w:val="3D4A52"/>
          <w:sz w:val="22"/>
          <w:szCs w:val="22"/>
        </w:rPr>
        <w:t xml:space="preserve">Releasing and reorganizing tissues that have been overworking or underused because of the protection pattern often improves overall ease and reduces secondary complaints.</w:t>
      </w:r>
    </w:p>
    <w:p>
      <w:pPr>
        <w:pStyle w:val="Heading3"/>
        <w:spacing w:after="100" w:before="260"/>
      </w:pPr>
      <w:r>
        <w:rPr>
          <w:rFonts w:ascii="Calibri" w:cs="Calibri" w:eastAsia="Calibri" w:hAnsi="Calibri"/>
          <w:b/>
          <w:bCs/>
          <w:color w:val="2A6F7F"/>
          <w:sz w:val="24"/>
          <w:szCs w:val="24"/>
        </w:rPr>
        <w:t xml:space="preserve">4. Supporting better mechanics</w:t>
      </w:r>
    </w:p>
    <w:p>
      <w:pPr>
        <w:spacing w:after="200" w:before="0" w:line="276"/>
      </w:pPr>
      <w:r>
        <w:rPr>
          <w:rFonts w:ascii="Calibri" w:cs="Calibri" w:eastAsia="Calibri" w:hAnsi="Calibri"/>
          <w:b w:val="false"/>
          <w:bCs w:val="false"/>
          <w:i w:val="false"/>
          <w:iCs w:val="false"/>
          <w:color w:val="3D4A52"/>
          <w:sz w:val="22"/>
          <w:szCs w:val="22"/>
        </w:rPr>
        <w:t xml:space="preserve">When the body can organize more evenly in gravity, load is shared more appropriately. That supports the stability work done in physical therapy rather than replacing it.</w:t>
      </w:r>
    </w:p>
    <w:p>
      <w:pPr>
        <w:pStyle w:val="Heading3"/>
        <w:spacing w:after="100" w:before="260"/>
      </w:pPr>
      <w:r>
        <w:rPr>
          <w:rFonts w:ascii="Calibri" w:cs="Calibri" w:eastAsia="Calibri" w:hAnsi="Calibri"/>
          <w:b/>
          <w:bCs/>
          <w:color w:val="2A6F7F"/>
          <w:sz w:val="24"/>
          <w:szCs w:val="24"/>
        </w:rPr>
        <w:t xml:space="preserve">5. Integration</w:t>
      </w:r>
    </w:p>
    <w:p>
      <w:pPr>
        <w:spacing w:after="200" w:before="0" w:line="276"/>
      </w:pPr>
      <w:r>
        <w:rPr>
          <w:rFonts w:ascii="Calibri" w:cs="Calibri" w:eastAsia="Calibri" w:hAnsi="Calibri"/>
          <w:b w:val="false"/>
          <w:bCs w:val="false"/>
          <w:i w:val="false"/>
          <w:iCs w:val="false"/>
          <w:color w:val="3D4A52"/>
          <w:sz w:val="22"/>
          <w:szCs w:val="22"/>
        </w:rPr>
        <w:t xml:space="preserve">We help you notice freer movement and better joint confidence so the change is more likely to hold in daily activity.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guidance supports — and what it does not</w:t>
            </w:r>
          </w:p>
          <w:p>
            <w:pPr>
              <w:spacing w:after="80" w:line="276"/>
            </w:pPr>
            <w:r>
              <w:rPr>
                <w:rFonts w:ascii="Calibri" w:cs="Calibri" w:eastAsia="Calibri" w:hAnsi="Calibri"/>
                <w:color w:val="3D4A52"/>
                <w:sz w:val="20"/>
                <w:szCs w:val="20"/>
              </w:rPr>
              <w:t xml:space="preserve">Acute sprains are managed with rest, ice, compression, elevation, and medical or physical therapy care as needed. Soft-tissue work is not indicated in the first days of significant swelling and inflammation. Later in recovery, gentle myofascial techniques are sometimes used as complementary support for residual restriction once medical clearance is obtained. Evidence is limited and results vary.</w:t>
            </w:r>
          </w:p>
          <w:p>
            <w:pPr>
              <w:spacing w:after="0" w:line="276"/>
            </w:pPr>
            <w:r>
              <w:rPr>
                <w:rFonts w:ascii="Calibri" w:cs="Calibri" w:eastAsia="Calibri" w:hAnsi="Calibri"/>
                <w:color w:val="3D4A52"/>
                <w:sz w:val="20"/>
                <w:szCs w:val="20"/>
              </w:rPr>
              <w:t xml:space="preserve">Structural Integration does not treat the acute injury, does not replace bracing, physical therapy, or medical follow-up, and is not appropriate for unstable joints or before clearance. It is a whole-body approach to residual fascial restriction and compensatory patterns in the later stages of recovery.</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later-stage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Sessions after a sprain are a potential fit if you:</w:t>
      </w:r>
    </w:p>
    <w:p>
      <w:pPr>
        <w:pStyle w:val="ListParagraph"/>
        <w:numPr>
          <w:ilvl w:val="0"/>
          <w:numId w:val="2"/>
        </w:numPr>
        <w:spacing w:after="80" w:line="276"/>
      </w:pPr>
      <w:r>
        <w:rPr>
          <w:rFonts w:ascii="Calibri" w:cs="Calibri" w:eastAsia="Calibri" w:hAnsi="Calibri"/>
          <w:b/>
          <w:bCs/>
          <w:color w:val="3D4A52"/>
          <w:sz w:val="22"/>
          <w:szCs w:val="22"/>
        </w:rPr>
        <w:t xml:space="preserve">Have completed the acute phase and swelling has settled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under medical or physical therapy care and have clearance for soft-tissue work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residual tightness, guarding, or compensatory patterns that limit full return to activity</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whole-body view rather than only local work on the original site</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We require discussion of the injury grade, imaging if done, current symptoms, and any restrictions from your care team before scheduling.</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w:t>
      </w:r>
    </w:p>
    <w:p>
      <w:pPr>
        <w:pStyle w:val="ListParagraph"/>
        <w:numPr>
          <w:ilvl w:val="0"/>
          <w:numId w:val="2"/>
        </w:numPr>
        <w:spacing w:after="80" w:line="276"/>
      </w:pPr>
      <w:r>
        <w:rPr>
          <w:rFonts w:ascii="Calibri" w:cs="Calibri" w:eastAsia="Calibri" w:hAnsi="Calibri"/>
          <w:b/>
          <w:bCs/>
          <w:color w:val="3D4A52"/>
          <w:sz w:val="22"/>
          <w:szCs w:val="22"/>
        </w:rPr>
        <w:t xml:space="preserve">Clearance first. </w:t>
      </w:r>
      <w:r>
        <w:rPr>
          <w:rFonts w:ascii="Calibri" w:cs="Calibri" w:eastAsia="Calibri" w:hAnsi="Calibri"/>
          <w:color w:val="3D4A52"/>
          <w:sz w:val="22"/>
          <w:szCs w:val="22"/>
        </w:rPr>
        <w:t xml:space="preserve">No work over an acutely swollen, hot, or unstable joint.</w:t>
      </w:r>
    </w:p>
    <w:p>
      <w:pPr>
        <w:pStyle w:val="ListParagraph"/>
        <w:numPr>
          <w:ilvl w:val="0"/>
          <w:numId w:val="2"/>
        </w:numPr>
        <w:spacing w:after="80" w:line="276"/>
      </w:pPr>
      <w:r>
        <w:rPr>
          <w:rFonts w:ascii="Calibri" w:cs="Calibri" w:eastAsia="Calibri" w:hAnsi="Calibri"/>
          <w:b/>
          <w:bCs/>
          <w:color w:val="3D4A52"/>
          <w:sz w:val="22"/>
          <w:szCs w:val="22"/>
        </w:rPr>
        <w:t xml:space="preserve">Assessment of the whole pattern. </w:t>
      </w:r>
      <w:r>
        <w:rPr>
          <w:rFonts w:ascii="Calibri" w:cs="Calibri" w:eastAsia="Calibri" w:hAnsi="Calibri"/>
          <w:color w:val="3D4A52"/>
          <w:sz w:val="22"/>
          <w:szCs w:val="22"/>
        </w:rPr>
        <w:t xml:space="preserve">We look at how the rest of the body has adapted.</w:t>
      </w:r>
    </w:p>
    <w:p>
      <w:pPr>
        <w:pStyle w:val="ListParagraph"/>
        <w:numPr>
          <w:ilvl w:val="0"/>
          <w:numId w:val="2"/>
        </w:numPr>
        <w:spacing w:after="80" w:line="276"/>
      </w:pPr>
      <w:r>
        <w:rPr>
          <w:rFonts w:ascii="Calibri" w:cs="Calibri" w:eastAsia="Calibri" w:hAnsi="Calibri"/>
          <w:b/>
          <w:bCs/>
          <w:color w:val="3D4A52"/>
          <w:sz w:val="22"/>
          <w:szCs w:val="22"/>
        </w:rPr>
        <w:t xml:space="preserve">Gentle, paced techniques. </w:t>
      </w:r>
      <w:r>
        <w:rPr>
          <w:rFonts w:ascii="Calibri" w:cs="Calibri" w:eastAsia="Calibri" w:hAnsi="Calibri"/>
          <w:color w:val="3D4A52"/>
          <w:sz w:val="22"/>
          <w:szCs w:val="22"/>
        </w:rPr>
        <w:t xml:space="preserve">Pressure is adjusted to tolerance; the goal is better glide and mechanics, not force.</w:t>
      </w:r>
    </w:p>
    <w:p>
      <w:pPr>
        <w:pStyle w:val="ListParagraph"/>
        <w:numPr>
          <w:ilvl w:val="0"/>
          <w:numId w:val="2"/>
        </w:numPr>
        <w:spacing w:after="80" w:line="276"/>
      </w:pPr>
      <w:r>
        <w:rPr>
          <w:rFonts w:ascii="Calibri" w:cs="Calibri" w:eastAsia="Calibri" w:hAnsi="Calibri"/>
          <w:b/>
          <w:bCs/>
          <w:color w:val="3D4A52"/>
          <w:sz w:val="22"/>
          <w:szCs w:val="22"/>
        </w:rPr>
        <w:t xml:space="preserve">Coordination with your rehab. </w:t>
      </w:r>
      <w:r>
        <w:rPr>
          <w:rFonts w:ascii="Calibri" w:cs="Calibri" w:eastAsia="Calibri" w:hAnsi="Calibri"/>
          <w:color w:val="3D4A52"/>
          <w:sz w:val="22"/>
          <w:szCs w:val="22"/>
        </w:rPr>
        <w:t xml:space="preserve">The work supports, rather than replaces, strength and proprioception exercises.</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Tell us about any lingering instability, recent setbacks, or areas that still feel fragile.</w:t>
      </w:r>
    </w:p>
    <w:p>
      <w:pPr>
        <w:pStyle w:val="Heading2"/>
        <w:pBdr>
          <w:bottom w:val="single" w:color="2A6F7F" w:sz="12" w:space="1"/>
        </w:pBdr>
        <w:spacing w:after="160" w:before="360"/>
      </w:pPr>
      <w:r>
        <w:rPr>
          <w:rFonts w:ascii="Calibri" w:cs="Calibri" w:eastAsia="Calibri" w:hAnsi="Calibri"/>
          <w:b/>
          <w:bCs/>
          <w:color w:val="1B3A4B"/>
          <w:sz w:val="28"/>
          <w:szCs w:val="28"/>
        </w:rPr>
        <w:t xml:space="preserve">Supporting recovery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basic recovery habits continue:</w:t>
      </w:r>
    </w:p>
    <w:p>
      <w:pPr>
        <w:pStyle w:val="ListParagraph"/>
        <w:numPr>
          <w:ilvl w:val="0"/>
          <w:numId w:val="2"/>
        </w:numPr>
        <w:spacing w:after="80" w:line="276"/>
      </w:pPr>
      <w:r>
        <w:rPr>
          <w:rFonts w:ascii="Calibri" w:cs="Calibri" w:eastAsia="Calibri" w:hAnsi="Calibri"/>
          <w:b/>
          <w:bCs/>
          <w:color w:val="3D4A52"/>
          <w:sz w:val="22"/>
          <w:szCs w:val="22"/>
        </w:rPr>
        <w:t xml:space="preserve">Follow your physical therapist’s or physician’s progression for loading and exercises.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Avoid sudden jumps in activity that re-irritate the ligament.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Continue protective measures (brace, supportive footwear) as recommended.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early signs of overload and scale back.</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If swelling returns, pain worsens, or the joint feels unstable, contact your medical provider. Soft-tissue work is never a reason to skip medical follow-up.</w:t>
      </w:r>
    </w:p>
    <w:p>
      <w:pPr>
        <w:pStyle w:val="Heading2"/>
        <w:pBdr>
          <w:bottom w:val="single" w:color="2A6F7F" w:sz="12" w:space="1"/>
        </w:pBdr>
        <w:spacing w:after="160" w:before="360"/>
      </w:pPr>
      <w:r>
        <w:rPr>
          <w:rFonts w:ascii="Calibri" w:cs="Calibri" w:eastAsia="Calibri" w:hAnsi="Calibri"/>
          <w:b/>
          <w:bCs/>
          <w:color w:val="1B3A4B"/>
          <w:sz w:val="28"/>
          <w:szCs w:val="28"/>
        </w:rPr>
        <w:t xml:space="preserve">A clearer return to movement</w:t>
      </w:r>
    </w:p>
    <w:p>
      <w:pPr>
        <w:spacing w:after="200" w:before="0" w:line="276"/>
      </w:pPr>
      <w:r>
        <w:rPr>
          <w:rFonts w:ascii="Calibri" w:cs="Calibri" w:eastAsia="Calibri" w:hAnsi="Calibri"/>
          <w:b w:val="false"/>
          <w:bCs w:val="false"/>
          <w:i w:val="false"/>
          <w:iCs w:val="false"/>
          <w:color w:val="3D4A52"/>
          <w:sz w:val="22"/>
          <w:szCs w:val="22"/>
        </w:rPr>
        <w:t xml:space="preserve">Sprains heal best when the acute phase is managed properly and residual patterns are addressed later. Once swelling has settled and clearance is in place, Structural Integration can help restore better fascial glide and reduce the compensatory load that often lingers after the ligament itself has improved.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support people in Cedar City and the surrounding area in the later stages of sprain recovery. If you have medical clearance and residual restriction is limiting how you move, let’s discuss whether a whole-body approach fits your current stage.</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DISCUSS A SESSION</w:t>
            </w:r>
          </w:p>
          <w:p>
            <w:pPr>
              <w:spacing w:after="120"/>
              <w:jc w:val="center"/>
            </w:pPr>
            <w:r>
              <w:rPr>
                <w:rFonts w:ascii="Calibri" w:cs="Calibri" w:eastAsia="Calibri" w:hAnsi="Calibri"/>
                <w:b/>
                <w:bCs/>
                <w:color w:val="FFFFFF"/>
                <w:sz w:val="28"/>
                <w:szCs w:val="28"/>
              </w:rPr>
              <w:t xml:space="preserve">Questions about later-stage sprain recovery?</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o6jimewhf7kltcf3d4zuj">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Acute sprains require appropriate medical evaluation and initial care (rest, ice, compression, elevation). Structural Integration is not appropriate during the acute phase or for unstable joints. Soft-tissue work in later recovery is complementary and does not replace physical therapy, bracing, or medical follow-up. Seek prompt care for inability to bear weight, severe pain, deformity, numbness, or symptoms that worsen.</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o6jimewhf7kltcf3d4zuj"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2026-10-15T17:04:12.443Z</dcterms:created>
  <dcterms:modified xsi:type="dcterms:W3CDTF">2026-10-15T17:04:12.449Z</dcterms:modified>
</cp:coreProperties>
</file>

<file path=docProps/custom.xml><?xml version="1.0" encoding="utf-8"?>
<Properties xmlns="http://schemas.openxmlformats.org/officeDocument/2006/custom-properties" xmlns:vt="http://schemas.openxmlformats.org/officeDocument/2006/docPropsVTypes"/>
</file>