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CARPAL TUNNEL SYNDROME</w:t>
      </w:r>
    </w:p>
    <w:p>
      <w:pPr>
        <w:pStyle w:val="Heading1"/>
        <w:spacing w:after="80"/>
      </w:pPr>
      <w:r>
        <w:rPr>
          <w:rFonts w:ascii="Calibri" w:cs="Calibri" w:eastAsia="Calibri" w:hAnsi="Calibri"/>
          <w:b/>
          <w:bCs/>
          <w:color w:val="1B3A4B"/>
          <w:sz w:val="48"/>
          <w:szCs w:val="48"/>
        </w:rPr>
        <w:t xml:space="preserve">More Than the Wrist</w:t>
      </w:r>
    </w:p>
    <w:p>
      <w:pPr>
        <w:pBdr>
          <w:bottom w:val="single" w:color="C45C26" w:sz="18" w:space="4"/>
        </w:pBdr>
        <w:spacing w:after="200"/>
      </w:pPr>
      <w:r>
        <w:rPr>
          <w:rFonts w:ascii="Calibri" w:cs="Calibri" w:eastAsia="Calibri" w:hAnsi="Calibri"/>
          <w:i/>
          <w:iCs/>
          <w:color w:val="2A6F7F"/>
          <w:sz w:val="24"/>
          <w:szCs w:val="24"/>
        </w:rPr>
        <w:t xml:space="preserve">Carpal tunnel syndrome, the full kinetic chain, and a careful Structural Integration approach</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Carpal tunnel syndrome is compression of the median nerve as it passes through the narrow carpal tunnel at the wrist. Typical symptoms include numbness or tingling in the thumb, index, and middle fingers, often worse at night, along with aching or weakness in the hand. Night splints, activity changes, and medical evaluation are the foundation of care. Soft-tissue work can sometimes help as a complement once a diagnosis is in place, but pressure must stay careful and the whole chain — not only the wrist — needs attention.</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do not diagnose or treat carpal tunnel syndrome. We work with people who already have medical guidance, focusing on fascial and muscular patterns in the forearm, shoulder, and neck that can contribute to load on the median nerve pathway. Sessions are gentle around the wrist itself. Structural Integration is complementary and does not replace splinting, medical follow-up, or, when needed, surgical release.</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carpal tunnel usually involves</w:t>
      </w:r>
    </w:p>
    <w:p>
      <w:pPr>
        <w:spacing w:after="200" w:before="0" w:line="276"/>
      </w:pPr>
      <w:r>
        <w:rPr>
          <w:rFonts w:ascii="Calibri" w:cs="Calibri" w:eastAsia="Calibri" w:hAnsi="Calibri"/>
          <w:b w:val="false"/>
          <w:bCs w:val="false"/>
          <w:i w:val="false"/>
          <w:iCs w:val="false"/>
          <w:color w:val="3D4A52"/>
          <w:sz w:val="22"/>
          <w:szCs w:val="22"/>
        </w:rPr>
        <w:t xml:space="preserve">The carpal tunnel is a tight passage at the base of the hand formed by the carpal bones and the transverse carpal ligament. The median nerve and several tendons travel through it. When space is reduced by swelling, repetitive loading, wrist position, or other factors, the nerve can become irritated.</w:t>
      </w:r>
    </w:p>
    <w:p>
      <w:pPr>
        <w:spacing w:after="200" w:before="0" w:line="276"/>
      </w:pPr>
      <w:r>
        <w:rPr>
          <w:rFonts w:ascii="Calibri" w:cs="Calibri" w:eastAsia="Calibri" w:hAnsi="Calibri"/>
          <w:b w:val="false"/>
          <w:bCs w:val="false"/>
          <w:i w:val="false"/>
          <w:iCs w:val="false"/>
          <w:color w:val="3D4A52"/>
          <w:sz w:val="22"/>
          <w:szCs w:val="22"/>
        </w:rPr>
        <w:t xml:space="preserve">Common features include:</w:t>
      </w:r>
    </w:p>
    <w:p>
      <w:pPr>
        <w:pStyle w:val="ListParagraph"/>
        <w:numPr>
          <w:ilvl w:val="0"/>
          <w:numId w:val="2"/>
        </w:numPr>
        <w:spacing w:after="80" w:line="276"/>
      </w:pPr>
      <w:r>
        <w:rPr>
          <w:rFonts w:ascii="Calibri" w:cs="Calibri" w:eastAsia="Calibri" w:hAnsi="Calibri"/>
          <w:b/>
          <w:bCs/>
          <w:color w:val="3D4A52"/>
          <w:sz w:val="22"/>
          <w:szCs w:val="22"/>
        </w:rPr>
        <w:t xml:space="preserve">Numbness or tingling in the thumb, index, middle, and sometimes ring finger.</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Symptoms that wake people at night or appear with gripping, driving, or keyboard work.</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Aching that can travel into the forearm.</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Later: grip weakness or dropping objects; in advanced cases, thinning of the muscle at the base of the thumb.</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Risk factors include repetitive hand use, certain medical conditions (diabetes, thyroid issues, rheumatoid arthritis), pregnancy-related fluid changes, prior wrist injury, and prolonged wrist flexion or extension. Diagnosis is clinical and may include nerve studies. Standard first-line care is a neutral wrist splint at night, activity modification, and medical monitoring. Persistent or progressive symptoms may need further treatment, including possible surgery.</w:t>
      </w:r>
    </w:p>
    <w:p>
      <w:pPr>
        <w:pStyle w:val="Heading3"/>
        <w:spacing w:after="100" w:before="260"/>
      </w:pPr>
      <w:r>
        <w:rPr>
          <w:rFonts w:ascii="Calibri" w:cs="Calibri" w:eastAsia="Calibri" w:hAnsi="Calibri"/>
          <w:b/>
          <w:bCs/>
          <w:color w:val="2A6F7F"/>
          <w:sz w:val="24"/>
          <w:szCs w:val="24"/>
        </w:rPr>
        <w:t xml:space="preserve">When to prioritize medical care</w:t>
      </w:r>
    </w:p>
    <w:p>
      <w:pPr>
        <w:spacing w:after="200" w:before="0" w:line="276"/>
      </w:pPr>
      <w:r>
        <w:rPr>
          <w:rFonts w:ascii="Calibri" w:cs="Calibri" w:eastAsia="Calibri" w:hAnsi="Calibri"/>
          <w:b w:val="false"/>
          <w:bCs w:val="false"/>
          <w:i w:val="false"/>
          <w:iCs w:val="false"/>
          <w:color w:val="3D4A52"/>
          <w:sz w:val="22"/>
          <w:szCs w:val="22"/>
        </w:rPr>
        <w:t xml:space="preserve">See a physician promptly for constant numbness, noticeable hand weakness, visible thinning of the muscle at the base of the thumb, symptoms that interfere with sleep or daily function, or any progressive loss of strength. These signs suggest the nerve needs timely evaluation to reduce the risk of lasting change. Soft-tissue work is not a substitute for that assessment and is not appropriate if symptoms are rapidly worsening or if thenar atrophy is present.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local wrist work is rarely enough</w:t>
      </w:r>
    </w:p>
    <w:p>
      <w:pPr>
        <w:spacing w:after="200" w:before="0" w:line="276"/>
      </w:pPr>
      <w:r>
        <w:rPr>
          <w:rFonts w:ascii="Calibri" w:cs="Calibri" w:eastAsia="Calibri" w:hAnsi="Calibri"/>
          <w:b w:val="false"/>
          <w:bCs w:val="false"/>
          <w:i w:val="false"/>
          <w:iCs w:val="false"/>
          <w:color w:val="3D4A52"/>
          <w:sz w:val="22"/>
          <w:szCs w:val="22"/>
        </w:rPr>
        <w:t xml:space="preserve">Many people with carpal tunnel symptoms also have restriction higher in the chain. Tight forearm flexors, elevated or forward shoulders, thoracic outlet patterns, and neck tension can alter the pathway the median nerve travels and increase overall load. Focusing only on the carpal tunnel itself can miss these contributors and may even irritate an already sensitive nerve if pressure is too firm directly over the tunnel.</w:t>
      </w:r>
    </w:p>
    <w:p>
      <w:pPr>
        <w:spacing w:after="200" w:before="0" w:line="276"/>
      </w:pPr>
      <w:r>
        <w:rPr>
          <w:rFonts w:ascii="Calibri" w:cs="Calibri" w:eastAsia="Calibri" w:hAnsi="Calibri"/>
          <w:b w:val="false"/>
          <w:bCs w:val="false"/>
          <w:i w:val="false"/>
          <w:iCs w:val="false"/>
          <w:color w:val="3D4A52"/>
          <w:sz w:val="22"/>
          <w:szCs w:val="22"/>
        </w:rPr>
        <w:t xml:space="preserve">Patterns we commonly observe:</w:t>
      </w:r>
    </w:p>
    <w:p>
      <w:pPr>
        <w:pStyle w:val="ListParagraph"/>
        <w:numPr>
          <w:ilvl w:val="0"/>
          <w:numId w:val="2"/>
        </w:numPr>
        <w:spacing w:after="80" w:line="276"/>
      </w:pPr>
      <w:r>
        <w:rPr>
          <w:rFonts w:ascii="Calibri" w:cs="Calibri" w:eastAsia="Calibri" w:hAnsi="Calibri"/>
          <w:b/>
          <w:bCs/>
          <w:color w:val="3D4A52"/>
          <w:sz w:val="22"/>
          <w:szCs w:val="22"/>
        </w:rPr>
        <w:t xml:space="preserve">Dense forearm flexor and pronator tissue that limits glide.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Shoulder and scapular positioning that increases tension through the arm.</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Neck or upper thoracic restriction that affects the brachial plexus pathway.</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Protective gripping habits that keep the wrist and forearm chronically loaded.</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A whole-body view looks at how the arm is organized in relation to the trunk and how daily postures and tasks feed the pattern.</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the pattern</w:t>
      </w:r>
    </w:p>
    <w:p>
      <w:pPr>
        <w:spacing w:after="200" w:before="0" w:line="276"/>
      </w:pPr>
      <w:r>
        <w:rPr>
          <w:rFonts w:ascii="Calibri" w:cs="Calibri" w:eastAsia="Calibri" w:hAnsi="Calibri"/>
          <w:b w:val="false"/>
          <w:bCs w:val="false"/>
          <w:i w:val="false"/>
          <w:iCs w:val="false"/>
          <w:color w:val="3D4A52"/>
          <w:sz w:val="22"/>
          <w:szCs w:val="22"/>
        </w:rPr>
        <w:t xml:space="preserve">Sessions are offered only after medical evaluation and when symptoms are stable enough for gentle work. Pressure stays light near the wrist and carpal tunnel; we stop or reduce intensity immediately if numbness or tingling increases. Typical elements include:</w:t>
      </w:r>
    </w:p>
    <w:p>
      <w:pPr>
        <w:pStyle w:val="Heading3"/>
        <w:spacing w:after="100" w:before="260"/>
      </w:pPr>
      <w:r>
        <w:rPr>
          <w:rFonts w:ascii="Calibri" w:cs="Calibri" w:eastAsia="Calibri" w:hAnsi="Calibri"/>
          <w:b/>
          <w:bCs/>
          <w:color w:val="2A6F7F"/>
          <w:sz w:val="24"/>
          <w:szCs w:val="24"/>
        </w:rPr>
        <w:t xml:space="preserve">1. Whole-chain assessment</w:t>
      </w:r>
    </w:p>
    <w:p>
      <w:pPr>
        <w:spacing w:after="200" w:before="0" w:line="276"/>
      </w:pPr>
      <w:r>
        <w:rPr>
          <w:rFonts w:ascii="Calibri" w:cs="Calibri" w:eastAsia="Calibri" w:hAnsi="Calibri"/>
          <w:b w:val="false"/>
          <w:bCs w:val="false"/>
          <w:i w:val="false"/>
          <w:iCs w:val="false"/>
          <w:color w:val="3D4A52"/>
          <w:sz w:val="22"/>
          <w:szCs w:val="22"/>
        </w:rPr>
        <w:t xml:space="preserve">We look at neck, shoulder, scapula, forearm, and wrist together. Posture at work or in daily tasks is part of the conversation.</w:t>
      </w:r>
    </w:p>
    <w:p>
      <w:pPr>
        <w:pStyle w:val="Heading3"/>
        <w:spacing w:after="100" w:before="260"/>
      </w:pPr>
      <w:r>
        <w:rPr>
          <w:rFonts w:ascii="Calibri" w:cs="Calibri" w:eastAsia="Calibri" w:hAnsi="Calibri"/>
          <w:b/>
          <w:bCs/>
          <w:color w:val="2A6F7F"/>
          <w:sz w:val="24"/>
          <w:szCs w:val="24"/>
        </w:rPr>
        <w:t xml:space="preserve">2. Forearm and shoulder fascial work</w:t>
      </w:r>
    </w:p>
    <w:p>
      <w:pPr>
        <w:spacing w:after="200" w:before="0" w:line="276"/>
      </w:pPr>
      <w:r>
        <w:rPr>
          <w:rFonts w:ascii="Calibri" w:cs="Calibri" w:eastAsia="Calibri" w:hAnsi="Calibri"/>
          <w:b w:val="false"/>
          <w:bCs w:val="false"/>
          <w:i w:val="false"/>
          <w:iCs w:val="false"/>
          <w:color w:val="3D4A52"/>
          <w:sz w:val="22"/>
          <w:szCs w:val="22"/>
        </w:rPr>
        <w:t xml:space="preserve">Gentle techniques address restricted forearm flexors, pronators, and related shoulder tissues. The goal is better glide and reduced chronic load rather than deep pressure over the nerve.</w:t>
      </w:r>
    </w:p>
    <w:p>
      <w:pPr>
        <w:pStyle w:val="Heading3"/>
        <w:spacing w:after="100" w:before="260"/>
      </w:pPr>
      <w:r>
        <w:rPr>
          <w:rFonts w:ascii="Calibri" w:cs="Calibri" w:eastAsia="Calibri" w:hAnsi="Calibri"/>
          <w:b/>
          <w:bCs/>
          <w:color w:val="2A6F7F"/>
          <w:sz w:val="24"/>
          <w:szCs w:val="24"/>
        </w:rPr>
        <w:t xml:space="preserve">3. Neck and thoracic organization</w:t>
      </w:r>
    </w:p>
    <w:p>
      <w:pPr>
        <w:spacing w:after="200" w:before="0" w:line="276"/>
      </w:pPr>
      <w:r>
        <w:rPr>
          <w:rFonts w:ascii="Calibri" w:cs="Calibri" w:eastAsia="Calibri" w:hAnsi="Calibri"/>
          <w:b w:val="false"/>
          <w:bCs w:val="false"/>
          <w:i w:val="false"/>
          <w:iCs w:val="false"/>
          <w:color w:val="3D4A52"/>
          <w:sz w:val="22"/>
          <w:szCs w:val="22"/>
        </w:rPr>
        <w:t xml:space="preserve">When indicated, we address patterns that pull the shoulders forward or restrict the upper thorax, since these can influence the entire arm.</w:t>
      </w:r>
    </w:p>
    <w:p>
      <w:pPr>
        <w:pStyle w:val="Heading3"/>
        <w:spacing w:after="100" w:before="260"/>
      </w:pPr>
      <w:r>
        <w:rPr>
          <w:rFonts w:ascii="Calibri" w:cs="Calibri" w:eastAsia="Calibri" w:hAnsi="Calibri"/>
          <w:b/>
          <w:bCs/>
          <w:color w:val="2A6F7F"/>
          <w:sz w:val="24"/>
          <w:szCs w:val="24"/>
        </w:rPr>
        <w:t xml:space="preserve">4. Avoiding direct irritation</w:t>
      </w:r>
    </w:p>
    <w:p>
      <w:pPr>
        <w:spacing w:after="200" w:before="0" w:line="276"/>
      </w:pPr>
      <w:r>
        <w:rPr>
          <w:rFonts w:ascii="Calibri" w:cs="Calibri" w:eastAsia="Calibri" w:hAnsi="Calibri"/>
          <w:b w:val="false"/>
          <w:bCs w:val="false"/>
          <w:i w:val="false"/>
          <w:iCs w:val="false"/>
          <w:color w:val="3D4A52"/>
          <w:sz w:val="22"/>
          <w:szCs w:val="22"/>
        </w:rPr>
        <w:t xml:space="preserve">We do not apply firm or prolonged pressure directly over the carpal tunnel. If any technique reproduces or worsens numbness, tingling, or electric sensations, we stop and lighten or change the approach.</w:t>
      </w:r>
    </w:p>
    <w:p>
      <w:pPr>
        <w:pStyle w:val="Heading3"/>
        <w:spacing w:after="100" w:before="260"/>
      </w:pPr>
      <w:r>
        <w:rPr>
          <w:rFonts w:ascii="Calibri" w:cs="Calibri" w:eastAsia="Calibri" w:hAnsi="Calibri"/>
          <w:b/>
          <w:bCs/>
          <w:color w:val="2A6F7F"/>
          <w:sz w:val="24"/>
          <w:szCs w:val="24"/>
        </w:rPr>
        <w:t xml:space="preserve">5. Integration with daily habits</w:t>
      </w:r>
    </w:p>
    <w:p>
      <w:pPr>
        <w:spacing w:after="200" w:before="0" w:line="276"/>
      </w:pPr>
      <w:r>
        <w:rPr>
          <w:rFonts w:ascii="Calibri" w:cs="Calibri" w:eastAsia="Calibri" w:hAnsi="Calibri"/>
          <w:b w:val="false"/>
          <w:bCs w:val="false"/>
          <w:i w:val="false"/>
          <w:iCs w:val="false"/>
          <w:color w:val="3D4A52"/>
          <w:sz w:val="22"/>
          <w:szCs w:val="22"/>
        </w:rPr>
        <w:t xml:space="preserve">We discuss wrist position, break strategies, and how the changes from the session can support the medical plan (including night splinting).</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guidance supports — and what it does not</w:t>
            </w:r>
          </w:p>
          <w:p>
            <w:pPr>
              <w:spacing w:after="80" w:line="276"/>
            </w:pPr>
            <w:r>
              <w:rPr>
                <w:rFonts w:ascii="Calibri" w:cs="Calibri" w:eastAsia="Calibri" w:hAnsi="Calibri"/>
                <w:color w:val="3D4A52"/>
                <w:sz w:val="20"/>
                <w:szCs w:val="20"/>
              </w:rPr>
              <w:t xml:space="preserve">Night wrist splinting and activity modification are standard first steps. Medical evaluation is essential, especially if symptoms are progressive or include weakness. Some clinical reports and smaller studies suggest that gentle myofascial techniques on the forearm and related areas may reduce symptoms in mild to moderate cases as a complement to standard care. Evidence is limited and results vary.</w:t>
            </w:r>
          </w:p>
          <w:p>
            <w:pPr>
              <w:spacing w:after="0" w:line="276"/>
            </w:pPr>
            <w:r>
              <w:rPr>
                <w:rFonts w:ascii="Calibri" w:cs="Calibri" w:eastAsia="Calibri" w:hAnsi="Calibri"/>
                <w:color w:val="3D4A52"/>
                <w:sz w:val="20"/>
                <w:szCs w:val="20"/>
              </w:rPr>
              <w:t xml:space="preserve">Structural Integration does not diagnose carpal tunnel syndrome, does not replace splinting or medical follow-up, and is not appropriate for advanced cases with thenar atrophy or rapidly worsening neurological symptoms. Direct deep pressure over the carpal tunnel is avoided. Work is complementary and focused on the broader fascial and postural pattern.</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approach may fit</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Sessions related to carpal tunnel symptoms are a potential fit if you:</w:t>
      </w:r>
    </w:p>
    <w:p>
      <w:pPr>
        <w:pStyle w:val="ListParagraph"/>
        <w:numPr>
          <w:ilvl w:val="0"/>
          <w:numId w:val="2"/>
        </w:numPr>
        <w:spacing w:after="80" w:line="276"/>
      </w:pPr>
      <w:r>
        <w:rPr>
          <w:rFonts w:ascii="Calibri" w:cs="Calibri" w:eastAsia="Calibri" w:hAnsi="Calibri"/>
          <w:b/>
          <w:bCs/>
          <w:color w:val="3D4A52"/>
          <w:sz w:val="22"/>
          <w:szCs w:val="22"/>
        </w:rPr>
        <w:t xml:space="preserve">Have a medical diagnosis or are under medical care for the symptoms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Have mild to moderate, relatively stable symptoms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forearm, shoulder, or neck tension that seems related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whole-chain approach that supports, rather than replaces, your medical plan</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We require discussion of your diagnosis, any nerve studies, current symptoms, medications, and restrictions before scheduling. Progressive weakness, thenar atrophy, or constant numbness means we refer you back to your physician.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w:t>
      </w:r>
    </w:p>
    <w:p>
      <w:pPr>
        <w:pStyle w:val="ListParagraph"/>
        <w:numPr>
          <w:ilvl w:val="0"/>
          <w:numId w:val="2"/>
        </w:numPr>
        <w:spacing w:after="80" w:line="276"/>
      </w:pPr>
      <w:r>
        <w:rPr>
          <w:rFonts w:ascii="Calibri" w:cs="Calibri" w:eastAsia="Calibri" w:hAnsi="Calibri"/>
          <w:b/>
          <w:bCs/>
          <w:color w:val="3D4A52"/>
          <w:sz w:val="22"/>
          <w:szCs w:val="22"/>
        </w:rPr>
        <w:t xml:space="preserve">Medical context first. </w:t>
      </w:r>
      <w:r>
        <w:rPr>
          <w:rFonts w:ascii="Calibri" w:cs="Calibri" w:eastAsia="Calibri" w:hAnsi="Calibri"/>
          <w:color w:val="3D4A52"/>
          <w:sz w:val="22"/>
          <w:szCs w:val="22"/>
        </w:rPr>
        <w:t xml:space="preserve">We need to understand the stage of your symptoms.</w:t>
      </w:r>
    </w:p>
    <w:p>
      <w:pPr>
        <w:pStyle w:val="ListParagraph"/>
        <w:numPr>
          <w:ilvl w:val="0"/>
          <w:numId w:val="2"/>
        </w:numPr>
        <w:spacing w:after="80" w:line="276"/>
      </w:pPr>
      <w:r>
        <w:rPr>
          <w:rFonts w:ascii="Calibri" w:cs="Calibri" w:eastAsia="Calibri" w:hAnsi="Calibri"/>
          <w:b/>
          <w:bCs/>
          <w:color w:val="3D4A52"/>
          <w:sz w:val="22"/>
          <w:szCs w:val="22"/>
        </w:rPr>
        <w:t xml:space="preserve">Light pressure near the wrist. </w:t>
      </w:r>
      <w:r>
        <w:rPr>
          <w:rFonts w:ascii="Calibri" w:cs="Calibri" w:eastAsia="Calibri" w:hAnsi="Calibri"/>
          <w:color w:val="3D4A52"/>
          <w:sz w:val="22"/>
          <w:szCs w:val="22"/>
        </w:rPr>
        <w:t xml:space="preserve">You control intensity. Any increase in numbness or tingling stops the technique.</w:t>
      </w:r>
    </w:p>
    <w:p>
      <w:pPr>
        <w:pStyle w:val="ListParagraph"/>
        <w:numPr>
          <w:ilvl w:val="0"/>
          <w:numId w:val="2"/>
        </w:numPr>
        <w:spacing w:after="80" w:line="276"/>
      </w:pPr>
      <w:r>
        <w:rPr>
          <w:rFonts w:ascii="Calibri" w:cs="Calibri" w:eastAsia="Calibri" w:hAnsi="Calibri"/>
          <w:b/>
          <w:bCs/>
          <w:color w:val="3D4A52"/>
          <w:sz w:val="22"/>
          <w:szCs w:val="22"/>
        </w:rPr>
        <w:t xml:space="preserve">Attention to forearm, shoulder, and neck patterns. </w:t>
      </w:r>
      <w:r>
        <w:rPr>
          <w:rFonts w:ascii="Calibri" w:cs="Calibri" w:eastAsia="Calibri" w:hAnsi="Calibri"/>
          <w:color w:val="3D4A52"/>
          <w:sz w:val="22"/>
          <w:szCs w:val="22"/>
        </w:rPr>
        <w:t xml:space="preserve">Not only the carpal tunnel itself.</w:t>
      </w:r>
    </w:p>
    <w:p>
      <w:pPr>
        <w:pStyle w:val="ListParagraph"/>
        <w:numPr>
          <w:ilvl w:val="0"/>
          <w:numId w:val="2"/>
        </w:numPr>
        <w:spacing w:after="80" w:line="276"/>
      </w:pPr>
      <w:r>
        <w:rPr>
          <w:rFonts w:ascii="Calibri" w:cs="Calibri" w:eastAsia="Calibri" w:hAnsi="Calibri"/>
          <w:b/>
          <w:bCs/>
          <w:color w:val="3D4A52"/>
          <w:sz w:val="22"/>
          <w:szCs w:val="22"/>
        </w:rPr>
        <w:t xml:space="preserve">Coordination with your care plan. </w:t>
      </w:r>
      <w:r>
        <w:rPr>
          <w:rFonts w:ascii="Calibri" w:cs="Calibri" w:eastAsia="Calibri" w:hAnsi="Calibri"/>
          <w:color w:val="3D4A52"/>
          <w:sz w:val="22"/>
          <w:szCs w:val="22"/>
        </w:rPr>
        <w:t xml:space="preserve">Including night splinting and activity changes recommended by your clinician.</w:t>
      </w:r>
    </w:p>
    <w:p>
      <w:pPr>
        <w:spacing w:after="200" w:before="0" w:line="276"/>
      </w:pPr>
      <w:r>
        <w:rPr>
          <w:rFonts w:ascii="Calibri" w:cs="Calibri" w:eastAsia="Calibri" w:hAnsi="Calibri"/>
          <w:b w:val="false"/>
          <w:bCs w:val="false"/>
          <w:i w:val="false"/>
          <w:iCs w:val="false"/>
          <w:color w:val="3D4A52"/>
          <w:sz w:val="22"/>
          <w:szCs w:val="22"/>
        </w:rPr>
        <w:t xml:space="preserve">Wear clothing that allows access to the arm and shoulder. Tell us if symptoms change between sessions or if any technique feels wrong during the work.</w:t>
      </w:r>
    </w:p>
    <w:p>
      <w:pPr>
        <w:pStyle w:val="Heading2"/>
        <w:pBdr>
          <w:bottom w:val="single" w:color="2A6F7F" w:sz="12" w:space="1"/>
        </w:pBdr>
        <w:spacing w:after="160" w:before="360"/>
      </w:pPr>
      <w:r>
        <w:rPr>
          <w:rFonts w:ascii="Calibri" w:cs="Calibri" w:eastAsia="Calibri" w:hAnsi="Calibri"/>
          <w:b/>
          <w:bCs/>
          <w:color w:val="1B3A4B"/>
          <w:sz w:val="28"/>
          <w:szCs w:val="28"/>
        </w:rPr>
        <w:t xml:space="preserve">Supporting the pattern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basic habits continue:</w:t>
      </w:r>
    </w:p>
    <w:p>
      <w:pPr>
        <w:pStyle w:val="ListParagraph"/>
        <w:numPr>
          <w:ilvl w:val="0"/>
          <w:numId w:val="2"/>
        </w:numPr>
        <w:spacing w:after="80" w:line="276"/>
      </w:pPr>
      <w:r>
        <w:rPr>
          <w:rFonts w:ascii="Calibri" w:cs="Calibri" w:eastAsia="Calibri" w:hAnsi="Calibri"/>
          <w:b/>
          <w:bCs/>
          <w:color w:val="3D4A52"/>
          <w:sz w:val="22"/>
          <w:szCs w:val="22"/>
        </w:rPr>
        <w:t xml:space="preserve">Use a neutral night splint if recommended by your physician.</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Take regular breaks from sustained gripping or keyboard work.</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Keep wrists in a more neutral position during daily tasks when possible.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Address shoulder and neck posture at your workstation.</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If numbness becomes constant, grip strength drops, or the muscle at the base of the thumb begins to thin, contact your physician promptly. Soft-tissue work is never a reason to delay medical follow-up.</w:t>
      </w:r>
    </w:p>
    <w:p>
      <w:pPr>
        <w:pStyle w:val="Heading2"/>
        <w:pBdr>
          <w:bottom w:val="single" w:color="2A6F7F" w:sz="12" w:space="1"/>
        </w:pBdr>
        <w:spacing w:after="160" w:before="360"/>
      </w:pPr>
      <w:r>
        <w:rPr>
          <w:rFonts w:ascii="Calibri" w:cs="Calibri" w:eastAsia="Calibri" w:hAnsi="Calibri"/>
          <w:b/>
          <w:bCs/>
          <w:color w:val="1B3A4B"/>
          <w:sz w:val="28"/>
          <w:szCs w:val="28"/>
        </w:rPr>
        <w:t xml:space="preserve">A broader view of hand and arm comfort</w:t>
      </w:r>
    </w:p>
    <w:p>
      <w:pPr>
        <w:spacing w:after="200" w:before="0" w:line="276"/>
      </w:pPr>
      <w:r>
        <w:rPr>
          <w:rFonts w:ascii="Calibri" w:cs="Calibri" w:eastAsia="Calibri" w:hAnsi="Calibri"/>
          <w:b w:val="false"/>
          <w:bCs w:val="false"/>
          <w:i w:val="false"/>
          <w:iCs w:val="false"/>
          <w:color w:val="3D4A52"/>
          <w:sz w:val="22"/>
          <w:szCs w:val="22"/>
        </w:rPr>
        <w:t xml:space="preserve">Carpal tunnel symptoms are centered at the wrist, yet the load that contributes to them often involves the forearm, shoulder, and neck. Once medical evaluation is in place, careful Structural Integration can address those related patterns without applying deep pressure over the irritated nerve.</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support people in Cedar City and the surrounding area who are looking for a complementary, whole-chain approach alongside their medical care. If your symptoms are stable and you have medical guidance, let’s discuss whether this fits your current plan.</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DISCUSS A SESSION</w:t>
            </w:r>
          </w:p>
          <w:p>
            <w:pPr>
              <w:spacing w:after="120"/>
              <w:jc w:val="center"/>
            </w:pPr>
            <w:r>
              <w:rPr>
                <w:rFonts w:ascii="Calibri" w:cs="Calibri" w:eastAsia="Calibri" w:hAnsi="Calibri"/>
                <w:b/>
                <w:bCs/>
                <w:color w:val="FFFFFF"/>
                <w:sz w:val="28"/>
                <w:szCs w:val="28"/>
              </w:rPr>
              <w:t xml:space="preserve">Questions about complementary support for carpal tunnel patterns?</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dxrml3wa4wzgp-8ev4pkq">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Carpal tunnel syndrome requires medical evaluation. Progressive symptoms, constant numbness, hand weakness, or thenar muscle thinning need prompt physician attention. Structural Integration is complementary, does not replace splinting or medical care, and is not appropriate for advanced neurological changes. Direct deep pressure over the carpal tunnel is avoided. Seek medical care if symptoms worsen or new weakness appears.</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dxrml3wa4wzgp-8ev4pkq"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2026-10-15T17:57:17.153Z</dcterms:created>
  <dcterms:modified xsi:type="dcterms:W3CDTF">2026-10-15T17:57:17.158Z</dcterms:modified>
</cp:coreProperties>
</file>

<file path=docProps/custom.xml><?xml version="1.0" encoding="utf-8"?>
<Properties xmlns="http://schemas.openxmlformats.org/officeDocument/2006/custom-properties" xmlns:vt="http://schemas.openxmlformats.org/officeDocument/2006/docPropsVTypes"/>
</file>