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KNEE CONDITIONS</w:t>
      </w:r>
    </w:p>
    <w:p>
      <w:pPr>
        <w:pStyle w:val="Heading1"/>
        <w:spacing w:after="80"/>
      </w:pPr>
      <w:r>
        <w:rPr>
          <w:rFonts w:ascii="Calibri" w:cs="Calibri" w:eastAsia="Calibri" w:hAnsi="Calibri"/>
          <w:b/>
          <w:bCs/>
          <w:color w:val="1B3A4B"/>
          <w:sz w:val="48"/>
          <w:szCs w:val="48"/>
        </w:rPr>
        <w:t xml:space="preserve">The Knee Is Rarely Working Alone</w:t>
      </w:r>
    </w:p>
    <w:p>
      <w:pPr>
        <w:pBdr>
          <w:bottom w:val="single" w:color="C45C26" w:sz="18" w:space="4"/>
        </w:pBdr>
        <w:spacing w:after="200"/>
      </w:pPr>
      <w:r>
        <w:rPr>
          <w:rFonts w:ascii="Calibri" w:cs="Calibri" w:eastAsia="Calibri" w:hAnsi="Calibri"/>
          <w:i/>
          <w:iCs/>
          <w:color w:val="2A6F7F"/>
          <w:sz w:val="24"/>
          <w:szCs w:val="24"/>
        </w:rPr>
        <w:t xml:space="preserve">Common knee conditions, kinetic-chain patterns, and a complementary Structural Integration approach</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Knee pain is common and has many possible sources — patellofemoral irritation, iliotibial band-related symptoms, osteoarthritis, residual restriction after a sprain or strain, or simple overload. Medical evaluation is essential to rule out serious injury, instability, or progressive joint disease. Strength and control work, often guided by physical therapy, form the foundation of recovery for most non-acute knee conditions. Soft-tissue work can sometimes support that process by addressing fascial restriction and compensatory patterns in the hips, thighs, calves, and feet once acute issues have been cleared.</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do not diagnose or treat acute knee injuries, ligament tears, or advanced structural damage. We work with people who already have medical guidance, focusing on the whole kinetic chain that loads the knee. Structural Integration is complementary. It does not replace medical care, physical therapy, bracing, or activity modification.</w:t>
      </w:r>
    </w:p>
    <w:p>
      <w:pPr>
        <w:pStyle w:val="Heading2"/>
        <w:pBdr>
          <w:bottom w:val="single" w:color="2A6F7F" w:sz="12" w:space="1"/>
        </w:pBdr>
        <w:spacing w:after="160" w:before="360"/>
      </w:pPr>
      <w:r>
        <w:rPr>
          <w:rFonts w:ascii="Calibri" w:cs="Calibri" w:eastAsia="Calibri" w:hAnsi="Calibri"/>
          <w:b/>
          <w:bCs/>
          <w:color w:val="1B3A4B"/>
          <w:sz w:val="28"/>
          <w:szCs w:val="28"/>
        </w:rPr>
        <w:t xml:space="preserve">Common knee presentations we see</w:t>
      </w:r>
    </w:p>
    <w:p>
      <w:pPr>
        <w:spacing w:after="200" w:before="0" w:line="276"/>
      </w:pPr>
      <w:r>
        <w:rPr>
          <w:rFonts w:ascii="Calibri" w:cs="Calibri" w:eastAsia="Calibri" w:hAnsi="Calibri"/>
          <w:b w:val="false"/>
          <w:bCs w:val="false"/>
          <w:i w:val="false"/>
          <w:iCs w:val="false"/>
          <w:color w:val="3D4A52"/>
          <w:sz w:val="22"/>
          <w:szCs w:val="22"/>
        </w:rPr>
        <w:t xml:space="preserve">Knee symptoms often fall into a few broad patterns. Accurate diagnosis belongs with a physician or physical therapist. The following are frequent:</w:t>
      </w:r>
    </w:p>
    <w:p>
      <w:pPr>
        <w:pStyle w:val="ListParagraph"/>
        <w:numPr>
          <w:ilvl w:val="0"/>
          <w:numId w:val="2"/>
        </w:numPr>
        <w:spacing w:after="80" w:line="276"/>
      </w:pPr>
      <w:r>
        <w:rPr>
          <w:rFonts w:ascii="Calibri" w:cs="Calibri" w:eastAsia="Calibri" w:hAnsi="Calibri"/>
          <w:b/>
          <w:bCs/>
          <w:color w:val="3D4A52"/>
          <w:sz w:val="22"/>
          <w:szCs w:val="22"/>
        </w:rPr>
        <w:t xml:space="preserve">Patellofemoral pain. </w:t>
      </w:r>
      <w:r>
        <w:rPr>
          <w:rFonts w:ascii="Calibri" w:cs="Calibri" w:eastAsia="Calibri" w:hAnsi="Calibri"/>
          <w:color w:val="3D4A52"/>
          <w:sz w:val="22"/>
          <w:szCs w:val="22"/>
        </w:rPr>
        <w:t xml:space="preserve">Aching around or behind the kneecap, often with stairs, squatting, running, or prolonged sitting.</w:t>
      </w:r>
    </w:p>
    <w:p>
      <w:pPr>
        <w:pStyle w:val="ListParagraph"/>
        <w:numPr>
          <w:ilvl w:val="0"/>
          <w:numId w:val="2"/>
        </w:numPr>
        <w:spacing w:after="80" w:line="276"/>
      </w:pPr>
      <w:r>
        <w:rPr>
          <w:rFonts w:ascii="Calibri" w:cs="Calibri" w:eastAsia="Calibri" w:hAnsi="Calibri"/>
          <w:b/>
          <w:bCs/>
          <w:color w:val="3D4A52"/>
          <w:sz w:val="22"/>
          <w:szCs w:val="22"/>
        </w:rPr>
        <w:t xml:space="preserve">Iliotibial band-related symptoms. </w:t>
      </w:r>
      <w:r>
        <w:rPr>
          <w:rFonts w:ascii="Calibri" w:cs="Calibri" w:eastAsia="Calibri" w:hAnsi="Calibri"/>
          <w:color w:val="3D4A52"/>
          <w:sz w:val="22"/>
          <w:szCs w:val="22"/>
        </w:rPr>
        <w:t xml:space="preserve">Pain on the outer knee that builds with repetitive loading such as running or cycling.</w:t>
      </w:r>
    </w:p>
    <w:p>
      <w:pPr>
        <w:pStyle w:val="ListParagraph"/>
        <w:numPr>
          <w:ilvl w:val="0"/>
          <w:numId w:val="2"/>
        </w:numPr>
        <w:spacing w:after="80" w:line="276"/>
      </w:pPr>
      <w:r>
        <w:rPr>
          <w:rFonts w:ascii="Calibri" w:cs="Calibri" w:eastAsia="Calibri" w:hAnsi="Calibri"/>
          <w:b/>
          <w:bCs/>
          <w:color w:val="3D4A52"/>
          <w:sz w:val="22"/>
          <w:szCs w:val="22"/>
        </w:rPr>
        <w:t xml:space="preserve">Osteoarthritis-related discomfort. </w:t>
      </w:r>
      <w:r>
        <w:rPr>
          <w:rFonts w:ascii="Calibri" w:cs="Calibri" w:eastAsia="Calibri" w:hAnsi="Calibri"/>
          <w:color w:val="3D4A52"/>
          <w:sz w:val="22"/>
          <w:szCs w:val="22"/>
        </w:rPr>
        <w:t xml:space="preserve">Stiffness, aching, and reduced range, often managed first with activity modification, strength work, and weight management when appropriate.</w:t>
      </w:r>
    </w:p>
    <w:p>
      <w:pPr>
        <w:pStyle w:val="ListParagraph"/>
        <w:numPr>
          <w:ilvl w:val="0"/>
          <w:numId w:val="2"/>
        </w:numPr>
        <w:spacing w:after="80" w:line="276"/>
      </w:pPr>
      <w:r>
        <w:rPr>
          <w:rFonts w:ascii="Calibri" w:cs="Calibri" w:eastAsia="Calibri" w:hAnsi="Calibri"/>
          <w:b/>
          <w:bCs/>
          <w:color w:val="3D4A52"/>
          <w:sz w:val="22"/>
          <w:szCs w:val="22"/>
        </w:rPr>
        <w:t xml:space="preserve">Residual restriction after sprain or strain. </w:t>
      </w:r>
      <w:r>
        <w:rPr>
          <w:rFonts w:ascii="Calibri" w:cs="Calibri" w:eastAsia="Calibri" w:hAnsi="Calibri"/>
          <w:color w:val="3D4A52"/>
          <w:sz w:val="22"/>
          <w:szCs w:val="22"/>
        </w:rPr>
        <w:t xml:space="preserve">Lingering tightness and altered movement after the acute phase has resolved.</w:t>
      </w:r>
    </w:p>
    <w:p>
      <w:pPr>
        <w:spacing w:after="200" w:before="0" w:line="276"/>
      </w:pPr>
      <w:r>
        <w:rPr>
          <w:rFonts w:ascii="Calibri" w:cs="Calibri" w:eastAsia="Calibri" w:hAnsi="Calibri"/>
          <w:b w:val="false"/>
          <w:bCs w:val="false"/>
          <w:i w:val="false"/>
          <w:iCs w:val="false"/>
          <w:color w:val="3D4A52"/>
          <w:sz w:val="22"/>
          <w:szCs w:val="22"/>
        </w:rPr>
        <w:t xml:space="preserve">Many of these involve more than the knee joint itself. Hip strength and control, foot and ankle mechanics, and fascial tension through the thigh and calf frequently influence how load reaches the knee.</w:t>
      </w:r>
    </w:p>
    <w:p>
      <w:pPr>
        <w:pStyle w:val="Heading3"/>
        <w:spacing w:after="100" w:before="260"/>
      </w:pPr>
      <w:r>
        <w:rPr>
          <w:rFonts w:ascii="Calibri" w:cs="Calibri" w:eastAsia="Calibri" w:hAnsi="Calibri"/>
          <w:b/>
          <w:bCs/>
          <w:color w:val="2A6F7F"/>
          <w:sz w:val="24"/>
          <w:szCs w:val="24"/>
        </w:rPr>
        <w:t xml:space="preserve">When to get medical care first</w:t>
      </w:r>
    </w:p>
    <w:p>
      <w:pPr>
        <w:spacing w:after="200" w:before="0" w:line="276"/>
      </w:pPr>
      <w:r>
        <w:rPr>
          <w:rFonts w:ascii="Calibri" w:cs="Calibri" w:eastAsia="Calibri" w:hAnsi="Calibri"/>
          <w:b w:val="false"/>
          <w:bCs w:val="false"/>
          <w:i w:val="false"/>
          <w:iCs w:val="false"/>
          <w:color w:val="3D4A52"/>
          <w:sz w:val="22"/>
          <w:szCs w:val="22"/>
        </w:rPr>
        <w:t xml:space="preserve">Seek prompt evaluation for inability to bear weight, sudden swelling, visible deformity, a popping sensation at the time of injury, the knee giving way, fever with a hot or red knee, or progressive loss of motion or stability. X-rays or other imaging may be needed. Structural Integration is not appropriate during the acute inflammatory phase, for undiagnosed instability, or when advanced joint damage requires medical management.</w:t>
      </w:r>
    </w:p>
    <w:p>
      <w:pPr>
        <w:pStyle w:val="Heading2"/>
        <w:pBdr>
          <w:bottom w:val="single" w:color="2A6F7F" w:sz="12" w:space="1"/>
        </w:pBdr>
        <w:spacing w:after="160" w:before="360"/>
      </w:pPr>
      <w:r>
        <w:rPr>
          <w:rFonts w:ascii="Calibri" w:cs="Calibri" w:eastAsia="Calibri" w:hAnsi="Calibri"/>
          <w:b/>
          <w:bCs/>
          <w:color w:val="1B3A4B"/>
          <w:sz w:val="28"/>
          <w:szCs w:val="28"/>
        </w:rPr>
        <w:t xml:space="preserve">Why the knee is rarely working alone</w:t>
      </w:r>
    </w:p>
    <w:p>
      <w:pPr>
        <w:spacing w:after="200" w:before="0" w:line="276"/>
      </w:pPr>
      <w:r>
        <w:rPr>
          <w:rFonts w:ascii="Calibri" w:cs="Calibri" w:eastAsia="Calibri" w:hAnsi="Calibri"/>
          <w:b w:val="false"/>
          <w:bCs w:val="false"/>
          <w:i w:val="false"/>
          <w:iCs w:val="false"/>
          <w:color w:val="3D4A52"/>
          <w:sz w:val="22"/>
          <w:szCs w:val="22"/>
        </w:rPr>
        <w:t xml:space="preserve">The knee sits between the hip and the foot. Restriction or weakness above or below changes how forces travel through the joint. Common contributors include:</w:t>
      </w:r>
    </w:p>
    <w:p>
      <w:pPr>
        <w:pStyle w:val="ListParagraph"/>
        <w:numPr>
          <w:ilvl w:val="0"/>
          <w:numId w:val="2"/>
        </w:numPr>
        <w:spacing w:after="80" w:line="276"/>
      </w:pPr>
      <w:r>
        <w:rPr>
          <w:rFonts w:ascii="Calibri" w:cs="Calibri" w:eastAsia="Calibri" w:hAnsi="Calibri"/>
          <w:b/>
          <w:bCs/>
          <w:color w:val="3D4A52"/>
          <w:sz w:val="22"/>
          <w:szCs w:val="22"/>
        </w:rPr>
        <w:t xml:space="preserve">Hip and gluteal patterns that alter pelvic and thigh alignment.</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Tight or restricted quadriceps, hamstrings, or IT band fascia.</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Calf and foot mechanics that change tibial rotation or impact absorption.</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Protective movement habits that keep loading the knee unevenly.</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Local work only on the knee often misses these upstream and downstream factors. A whole-body view looks at how the person stands, walks, and loads the joint in daily activity.</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Structural Integration approaches knee patterns</w:t>
      </w:r>
    </w:p>
    <w:p>
      <w:pPr>
        <w:spacing w:after="200" w:before="0" w:line="276"/>
      </w:pPr>
      <w:r>
        <w:rPr>
          <w:rFonts w:ascii="Calibri" w:cs="Calibri" w:eastAsia="Calibri" w:hAnsi="Calibri"/>
          <w:b w:val="false"/>
          <w:bCs w:val="false"/>
          <w:i w:val="false"/>
          <w:iCs w:val="false"/>
          <w:color w:val="3D4A52"/>
          <w:sz w:val="22"/>
          <w:szCs w:val="22"/>
        </w:rPr>
        <w:t xml:space="preserve">Sessions are offered only after medical evaluation and once acute swelling or instability has been addressed. Work is paced carefully and never forced into painful ranges. Typical elements include:</w:t>
      </w:r>
    </w:p>
    <w:p>
      <w:pPr>
        <w:pStyle w:val="Heading3"/>
        <w:spacing w:after="100" w:before="260"/>
      </w:pPr>
      <w:r>
        <w:rPr>
          <w:rFonts w:ascii="Calibri" w:cs="Calibri" w:eastAsia="Calibri" w:hAnsi="Calibri"/>
          <w:b/>
          <w:bCs/>
          <w:color w:val="2A6F7F"/>
          <w:sz w:val="24"/>
          <w:szCs w:val="24"/>
        </w:rPr>
        <w:t xml:space="preserve">1. Whole-chain assessment</w:t>
      </w:r>
    </w:p>
    <w:p>
      <w:pPr>
        <w:spacing w:after="200" w:before="0" w:line="276"/>
      </w:pPr>
      <w:r>
        <w:rPr>
          <w:rFonts w:ascii="Calibri" w:cs="Calibri" w:eastAsia="Calibri" w:hAnsi="Calibri"/>
          <w:b w:val="false"/>
          <w:bCs w:val="false"/>
          <w:i w:val="false"/>
          <w:iCs w:val="false"/>
          <w:color w:val="3D4A52"/>
          <w:sz w:val="22"/>
          <w:szCs w:val="22"/>
        </w:rPr>
        <w:t xml:space="preserve">We observe standing and walking, and assess the hips, thighs, calves, and feet in relation to the symptomatic knee.</w:t>
      </w:r>
    </w:p>
    <w:p>
      <w:pPr>
        <w:pStyle w:val="Heading3"/>
        <w:spacing w:after="100" w:before="260"/>
      </w:pPr>
      <w:r>
        <w:rPr>
          <w:rFonts w:ascii="Calibri" w:cs="Calibri" w:eastAsia="Calibri" w:hAnsi="Calibri"/>
          <w:b/>
          <w:bCs/>
          <w:color w:val="2A6F7F"/>
          <w:sz w:val="24"/>
          <w:szCs w:val="24"/>
        </w:rPr>
        <w:t xml:space="preserve">2. Fascial work around the knee and related chains</w:t>
      </w:r>
    </w:p>
    <w:p>
      <w:pPr>
        <w:spacing w:after="200" w:before="0" w:line="276"/>
      </w:pPr>
      <w:r>
        <w:rPr>
          <w:rFonts w:ascii="Calibri" w:cs="Calibri" w:eastAsia="Calibri" w:hAnsi="Calibri"/>
          <w:b w:val="false"/>
          <w:bCs w:val="false"/>
          <w:i w:val="false"/>
          <w:iCs w:val="false"/>
          <w:color w:val="3D4A52"/>
          <w:sz w:val="22"/>
          <w:szCs w:val="22"/>
        </w:rPr>
        <w:t xml:space="preserve">Gentle techniques address restricted tissue in the quadriceps, IT band region, hamstrings, and calves when those areas are contributing to load. Pressure stays within comfort and is adjusted continuously.</w:t>
      </w:r>
    </w:p>
    <w:p>
      <w:pPr>
        <w:pStyle w:val="Heading3"/>
        <w:spacing w:after="100" w:before="260"/>
      </w:pPr>
      <w:r>
        <w:rPr>
          <w:rFonts w:ascii="Calibri" w:cs="Calibri" w:eastAsia="Calibri" w:hAnsi="Calibri"/>
          <w:b/>
          <w:bCs/>
          <w:color w:val="2A6F7F"/>
          <w:sz w:val="24"/>
          <w:szCs w:val="24"/>
        </w:rPr>
        <w:t xml:space="preserve">3. Hip and pelvic organization</w:t>
      </w:r>
    </w:p>
    <w:p>
      <w:pPr>
        <w:spacing w:after="200" w:before="0" w:line="276"/>
      </w:pPr>
      <w:r>
        <w:rPr>
          <w:rFonts w:ascii="Calibri" w:cs="Calibri" w:eastAsia="Calibri" w:hAnsi="Calibri"/>
          <w:b w:val="false"/>
          <w:bCs w:val="false"/>
          <w:i w:val="false"/>
          <w:iCs w:val="false"/>
          <w:color w:val="3D4A52"/>
          <w:sz w:val="22"/>
          <w:szCs w:val="22"/>
        </w:rPr>
        <w:t xml:space="preserve">Improving how the pelvis and hips relate to the thigh often reduces uneven stress on the knee and supports the strength work done in physical therapy.</w:t>
      </w:r>
    </w:p>
    <w:p>
      <w:pPr>
        <w:pStyle w:val="Heading3"/>
        <w:spacing w:after="100" w:before="260"/>
      </w:pPr>
      <w:r>
        <w:rPr>
          <w:rFonts w:ascii="Calibri" w:cs="Calibri" w:eastAsia="Calibri" w:hAnsi="Calibri"/>
          <w:b/>
          <w:bCs/>
          <w:color w:val="2A6F7F"/>
          <w:sz w:val="24"/>
          <w:szCs w:val="24"/>
        </w:rPr>
        <w:t xml:space="preserve">4. Supporting better mechanics</w:t>
      </w:r>
    </w:p>
    <w:p>
      <w:pPr>
        <w:spacing w:after="200" w:before="0" w:line="276"/>
      </w:pPr>
      <w:r>
        <w:rPr>
          <w:rFonts w:ascii="Calibri" w:cs="Calibri" w:eastAsia="Calibri" w:hAnsi="Calibri"/>
          <w:b w:val="false"/>
          <w:bCs w:val="false"/>
          <w:i w:val="false"/>
          <w:iCs w:val="false"/>
          <w:color w:val="3D4A52"/>
          <w:sz w:val="22"/>
          <w:szCs w:val="22"/>
        </w:rPr>
        <w:t xml:space="preserve">When the body can organize more evenly in gravity, load is shared more appropriately across the chain rather than concentrating at the knee.</w:t>
      </w:r>
    </w:p>
    <w:p>
      <w:pPr>
        <w:pStyle w:val="Heading3"/>
        <w:spacing w:after="100" w:before="260"/>
      </w:pPr>
      <w:r>
        <w:rPr>
          <w:rFonts w:ascii="Calibri" w:cs="Calibri" w:eastAsia="Calibri" w:hAnsi="Calibri"/>
          <w:b/>
          <w:bCs/>
          <w:color w:val="2A6F7F"/>
          <w:sz w:val="24"/>
          <w:szCs w:val="24"/>
        </w:rPr>
        <w:t xml:space="preserve">5. Integration</w:t>
      </w:r>
    </w:p>
    <w:p>
      <w:pPr>
        <w:spacing w:after="200" w:before="0" w:line="276"/>
      </w:pPr>
      <w:r>
        <w:rPr>
          <w:rFonts w:ascii="Calibri" w:cs="Calibri" w:eastAsia="Calibri" w:hAnsi="Calibri"/>
          <w:b w:val="false"/>
          <w:bCs w:val="false"/>
          <w:i w:val="false"/>
          <w:iCs w:val="false"/>
          <w:color w:val="3D4A52"/>
          <w:sz w:val="22"/>
          <w:szCs w:val="22"/>
        </w:rPr>
        <w:t xml:space="preserve">We help you notice freer movement so the change is more likely to hold with daily activity and rehabilitation exercises.</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the guidance supports — and what it does not</w:t>
            </w:r>
          </w:p>
          <w:p>
            <w:pPr>
              <w:spacing w:after="80" w:line="276"/>
            </w:pPr>
            <w:r>
              <w:rPr>
                <w:rFonts w:ascii="Calibri" w:cs="Calibri" w:eastAsia="Calibri" w:hAnsi="Calibri"/>
                <w:color w:val="3D4A52"/>
                <w:sz w:val="20"/>
                <w:szCs w:val="20"/>
              </w:rPr>
              <w:t xml:space="preserve">Medical evaluation and, for most non-acute knee conditions, physical therapy focused on strength, control, and gradual loading are the primary approaches. Some reviews suggest that myofascial techniques used as an adjunct can help reduce pain and improve range of motion in certain knee presentations, including osteoarthritis, when combined with other care. Evidence is limited and results vary.</w:t>
            </w:r>
          </w:p>
          <w:p>
            <w:pPr>
              <w:spacing w:after="0" w:line="276"/>
            </w:pPr>
            <w:r>
              <w:rPr>
                <w:rFonts w:ascii="Calibri" w:cs="Calibri" w:eastAsia="Calibri" w:hAnsi="Calibri"/>
                <w:color w:val="3D4A52"/>
                <w:sz w:val="20"/>
                <w:szCs w:val="20"/>
              </w:rPr>
              <w:t xml:space="preserve">Structural Integration does not diagnose knee conditions, does not treat acute injuries or ligament instability, and does not replace physical therapy, bracing, or medical management of osteoarthritis or other structural issues. It is a complementary, whole-chain approach to residual fascial restriction and compensatory patterns once clearance is in place.</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this approach may fit</w:t>
      </w:r>
    </w:p>
    <w:p>
      <w:pPr>
        <w:spacing w:after="200" w:before="0" w:line="276"/>
      </w:pPr>
      <w:r>
        <w:rPr>
          <w:rFonts w:ascii="Calibri" w:cs="Calibri" w:eastAsia="Calibri" w:hAnsi="Calibri"/>
          <w:b w:val="false"/>
          <w:bCs w:val="false"/>
          <w:i w:val="false"/>
          <w:iCs w:val="false"/>
          <w:color w:val="3D4A52"/>
          <w:sz w:val="22"/>
          <w:szCs w:val="22"/>
        </w:rPr>
        <w:t xml:space="preserve">Muscularity Structural Integration serves Cedar City and the surrounding communities. Sessions related to knee conditions are a potential fit if you:</w:t>
      </w:r>
    </w:p>
    <w:p>
      <w:pPr>
        <w:pStyle w:val="ListParagraph"/>
        <w:numPr>
          <w:ilvl w:val="0"/>
          <w:numId w:val="2"/>
        </w:numPr>
        <w:spacing w:after="80" w:line="276"/>
      </w:pPr>
      <w:r>
        <w:rPr>
          <w:rFonts w:ascii="Calibri" w:cs="Calibri" w:eastAsia="Calibri" w:hAnsi="Calibri"/>
          <w:b/>
          <w:bCs/>
          <w:color w:val="3D4A52"/>
          <w:sz w:val="22"/>
          <w:szCs w:val="22"/>
        </w:rPr>
        <w:t xml:space="preserve">Have medical clearance and are under appropriate medical or physical therapy care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Experience residual tightness, compensatory patterns, or uneven loading that limits comfort or function</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Want a whole-body view that addresses the hips, thighs, calves, and feet in relation to the knee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Understand that the work supports, rather than replaces, strength and rehabilitation</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We require discussion of your diagnosis, imaging if done, current symptoms, and any restrictions from your care team before scheduling. Acute instability, significant swelling, or progressive joint disease means we refer you back to your physician.</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w:t>
      </w:r>
    </w:p>
    <w:p>
      <w:pPr>
        <w:pStyle w:val="ListParagraph"/>
        <w:numPr>
          <w:ilvl w:val="0"/>
          <w:numId w:val="2"/>
        </w:numPr>
        <w:spacing w:after="80" w:line="276"/>
      </w:pPr>
      <w:r>
        <w:rPr>
          <w:rFonts w:ascii="Calibri" w:cs="Calibri" w:eastAsia="Calibri" w:hAnsi="Calibri"/>
          <w:b/>
          <w:bCs/>
          <w:color w:val="3D4A52"/>
          <w:sz w:val="22"/>
          <w:szCs w:val="22"/>
        </w:rPr>
        <w:t xml:space="preserve">Clearance first. </w:t>
      </w:r>
      <w:r>
        <w:rPr>
          <w:rFonts w:ascii="Calibri" w:cs="Calibri" w:eastAsia="Calibri" w:hAnsi="Calibri"/>
          <w:color w:val="3D4A52"/>
          <w:sz w:val="22"/>
          <w:szCs w:val="22"/>
        </w:rPr>
        <w:t xml:space="preserve">No work over an acutely swollen, hot, or unstable knee.</w:t>
      </w:r>
    </w:p>
    <w:p>
      <w:pPr>
        <w:pStyle w:val="ListParagraph"/>
        <w:numPr>
          <w:ilvl w:val="0"/>
          <w:numId w:val="2"/>
        </w:numPr>
        <w:spacing w:after="80" w:line="276"/>
      </w:pPr>
      <w:r>
        <w:rPr>
          <w:rFonts w:ascii="Calibri" w:cs="Calibri" w:eastAsia="Calibri" w:hAnsi="Calibri"/>
          <w:b/>
          <w:bCs/>
          <w:color w:val="3D4A52"/>
          <w:sz w:val="22"/>
          <w:szCs w:val="22"/>
        </w:rPr>
        <w:t xml:space="preserve">Assessment of the whole pattern. </w:t>
      </w:r>
      <w:r>
        <w:rPr>
          <w:rFonts w:ascii="Calibri" w:cs="Calibri" w:eastAsia="Calibri" w:hAnsi="Calibri"/>
          <w:color w:val="3D4A52"/>
          <w:sz w:val="22"/>
          <w:szCs w:val="22"/>
        </w:rPr>
        <w:t xml:space="preserve">Hips, thighs, calves, and feet are part of the map.</w:t>
      </w:r>
    </w:p>
    <w:p>
      <w:pPr>
        <w:pStyle w:val="ListParagraph"/>
        <w:numPr>
          <w:ilvl w:val="0"/>
          <w:numId w:val="2"/>
        </w:numPr>
        <w:spacing w:after="80" w:line="276"/>
      </w:pPr>
      <w:r>
        <w:rPr>
          <w:rFonts w:ascii="Calibri" w:cs="Calibri" w:eastAsia="Calibri" w:hAnsi="Calibri"/>
          <w:b/>
          <w:bCs/>
          <w:color w:val="3D4A52"/>
          <w:sz w:val="22"/>
          <w:szCs w:val="22"/>
        </w:rPr>
        <w:t xml:space="preserve">Gentle, paced techniques. </w:t>
      </w:r>
      <w:r>
        <w:rPr>
          <w:rFonts w:ascii="Calibri" w:cs="Calibri" w:eastAsia="Calibri" w:hAnsi="Calibri"/>
          <w:color w:val="3D4A52"/>
          <w:sz w:val="22"/>
          <w:szCs w:val="22"/>
        </w:rPr>
        <w:t xml:space="preserve">Pressure is adjusted to tolerance; the goal is better glide and mechanics.</w:t>
      </w:r>
    </w:p>
    <w:p>
      <w:pPr>
        <w:pStyle w:val="ListParagraph"/>
        <w:numPr>
          <w:ilvl w:val="0"/>
          <w:numId w:val="2"/>
        </w:numPr>
        <w:spacing w:after="80" w:line="276"/>
      </w:pPr>
      <w:r>
        <w:rPr>
          <w:rFonts w:ascii="Calibri" w:cs="Calibri" w:eastAsia="Calibri" w:hAnsi="Calibri"/>
          <w:b/>
          <w:bCs/>
          <w:color w:val="3D4A52"/>
          <w:sz w:val="22"/>
          <w:szCs w:val="22"/>
        </w:rPr>
        <w:t xml:space="preserve">Coordination with your rehab. </w:t>
      </w:r>
      <w:r>
        <w:rPr>
          <w:rFonts w:ascii="Calibri" w:cs="Calibri" w:eastAsia="Calibri" w:hAnsi="Calibri"/>
          <w:color w:val="3D4A52"/>
          <w:sz w:val="22"/>
          <w:szCs w:val="22"/>
        </w:rPr>
        <w:t xml:space="preserve">The work supports strength and control exercises rather than replacing them.</w:t>
      </w:r>
    </w:p>
    <w:p>
      <w:pPr>
        <w:spacing w:after="200" w:before="0" w:line="276"/>
      </w:pPr>
      <w:r>
        <w:rPr>
          <w:rFonts w:ascii="Calibri" w:cs="Calibri" w:eastAsia="Calibri" w:hAnsi="Calibri"/>
          <w:b w:val="false"/>
          <w:bCs w:val="false"/>
          <w:i w:val="false"/>
          <w:iCs w:val="false"/>
          <w:color w:val="3D4A52"/>
          <w:sz w:val="22"/>
          <w:szCs w:val="22"/>
        </w:rPr>
        <w:t xml:space="preserve">Wear clothes you can move in. Tell us about any lingering instability, recent setbacks, or areas that still feel fragile.</w:t>
      </w:r>
    </w:p>
    <w:p>
      <w:pPr>
        <w:pStyle w:val="Heading2"/>
        <w:pBdr>
          <w:bottom w:val="single" w:color="2A6F7F" w:sz="12" w:space="1"/>
        </w:pBdr>
        <w:spacing w:after="160" w:before="360"/>
      </w:pPr>
      <w:r>
        <w:rPr>
          <w:rFonts w:ascii="Calibri" w:cs="Calibri" w:eastAsia="Calibri" w:hAnsi="Calibri"/>
          <w:b/>
          <w:bCs/>
          <w:color w:val="1B3A4B"/>
          <w:sz w:val="28"/>
          <w:szCs w:val="28"/>
        </w:rPr>
        <w:t xml:space="preserve">Supporting the pattern between sessions</w:t>
      </w:r>
    </w:p>
    <w:p>
      <w:pPr>
        <w:spacing w:after="200" w:before="0" w:line="276"/>
      </w:pPr>
      <w:r>
        <w:rPr>
          <w:rFonts w:ascii="Calibri" w:cs="Calibri" w:eastAsia="Calibri" w:hAnsi="Calibri"/>
          <w:b w:val="false"/>
          <w:bCs w:val="false"/>
          <w:i w:val="false"/>
          <w:iCs w:val="false"/>
          <w:color w:val="3D4A52"/>
          <w:sz w:val="22"/>
          <w:szCs w:val="22"/>
        </w:rPr>
        <w:t xml:space="preserve">Hands-on work holds better when basic habits continue:</w:t>
      </w:r>
    </w:p>
    <w:p>
      <w:pPr>
        <w:pStyle w:val="ListParagraph"/>
        <w:numPr>
          <w:ilvl w:val="0"/>
          <w:numId w:val="2"/>
        </w:numPr>
        <w:spacing w:after="80" w:line="276"/>
      </w:pPr>
      <w:r>
        <w:rPr>
          <w:rFonts w:ascii="Calibri" w:cs="Calibri" w:eastAsia="Calibri" w:hAnsi="Calibri"/>
          <w:b/>
          <w:bCs/>
          <w:color w:val="3D4A52"/>
          <w:sz w:val="22"/>
          <w:szCs w:val="22"/>
        </w:rPr>
        <w:t xml:space="preserve">Follow your physical therapist’s or physician’s progression for loading and exercises.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Avoid sudden increases in activity that re-irritate the knee.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Pay attention to hip and foot mechanics in daily movement.</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Use supportive measures (bracing, footwear) as recommended.</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If swelling returns, the knee gives way, or pain worsens significantly, contact your medical provider. Soft-tissue work is never a reason to skip medical follow-up.</w:t>
      </w:r>
    </w:p>
    <w:p>
      <w:pPr>
        <w:pStyle w:val="Heading2"/>
        <w:pBdr>
          <w:bottom w:val="single" w:color="2A6F7F" w:sz="12" w:space="1"/>
        </w:pBdr>
        <w:spacing w:after="160" w:before="360"/>
      </w:pPr>
      <w:r>
        <w:rPr>
          <w:rFonts w:ascii="Calibri" w:cs="Calibri" w:eastAsia="Calibri" w:hAnsi="Calibri"/>
          <w:b/>
          <w:bCs/>
          <w:color w:val="1B3A4B"/>
          <w:sz w:val="28"/>
          <w:szCs w:val="28"/>
        </w:rPr>
        <w:t xml:space="preserve">A clearer path for the whole chain</w:t>
      </w:r>
    </w:p>
    <w:p>
      <w:pPr>
        <w:spacing w:after="200" w:before="0" w:line="276"/>
      </w:pPr>
      <w:r>
        <w:rPr>
          <w:rFonts w:ascii="Calibri" w:cs="Calibri" w:eastAsia="Calibri" w:hAnsi="Calibri"/>
          <w:b w:val="false"/>
          <w:bCs w:val="false"/>
          <w:i w:val="false"/>
          <w:iCs w:val="false"/>
          <w:color w:val="3D4A52"/>
          <w:sz w:val="22"/>
          <w:szCs w:val="22"/>
        </w:rPr>
        <w:t xml:space="preserve">Most knee conditions improve best when the joint itself is properly evaluated and the surrounding chain is addressed. Once medical clearance is in place, Structural Integration can help restore better fascial glide and reduce the compensatory load that often contributes to ongoing discomfort.</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support people in Cedar City and the surrounding area who are looking for a complementary, whole-body approach alongside their medical and physical therapy care. If you have clearance and residual patterns are limiting how you move, let’s discuss whether this fits your current stage.</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DISCUSS A SESSION</w:t>
            </w:r>
          </w:p>
          <w:p>
            <w:pPr>
              <w:spacing w:after="120"/>
              <w:jc w:val="center"/>
            </w:pPr>
            <w:r>
              <w:rPr>
                <w:rFonts w:ascii="Calibri" w:cs="Calibri" w:eastAsia="Calibri" w:hAnsi="Calibri"/>
                <w:b/>
                <w:bCs/>
                <w:color w:val="FFFFFF"/>
                <w:sz w:val="28"/>
                <w:szCs w:val="28"/>
              </w:rPr>
              <w:t xml:space="preserve">Questions about complementary support for knee patterns?</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yj4xnjvwl6zv9beavbipw">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It is not a diagnosis or a treatment plan. Knee conditions require appropriate medical evaluation. Acute injuries, instability, significant swelling, or progressive structural damage need physician attention. Structural Integration is complementary and does not replace physical therapy, bracing, or medical management. Seek prompt care for inability to bear weight, sudden swelling, deformity, the knee giving way, or fever with a hot, red knee.</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yj4xnjvwl6zv9beavbipw"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2026-10-15T21:06:09.167Z</dcterms:created>
  <dcterms:modified xsi:type="dcterms:W3CDTF">2026-10-15T21:06:09.173Z</dcterms:modified>
</cp:coreProperties>
</file>

<file path=docProps/custom.xml><?xml version="1.0" encoding="utf-8"?>
<Properties xmlns="http://schemas.openxmlformats.org/officeDocument/2006/custom-properties" xmlns:vt="http://schemas.openxmlformats.org/officeDocument/2006/docPropsVTypes"/>
</file>