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ELBOW CONDITIONS</w:t>
      </w:r>
    </w:p>
    <w:p>
      <w:pPr>
        <w:pStyle w:val="Heading1"/>
        <w:spacing w:after="80"/>
      </w:pPr>
      <w:r>
        <w:rPr>
          <w:rFonts w:ascii="Calibri" w:cs="Calibri" w:eastAsia="Calibri" w:hAnsi="Calibri"/>
          <w:b/>
          <w:bCs/>
          <w:color w:val="1B3A4B"/>
          <w:sz w:val="48"/>
          <w:szCs w:val="48"/>
        </w:rPr>
        <w:t xml:space="preserve">The Elbow Connects the Chain</w:t>
      </w:r>
    </w:p>
    <w:p>
      <w:pPr>
        <w:pBdr>
          <w:bottom w:val="single" w:color="C45C26" w:sz="18" w:space="4"/>
        </w:pBdr>
        <w:spacing w:after="200"/>
      </w:pPr>
      <w:r>
        <w:rPr>
          <w:rFonts w:ascii="Calibri" w:cs="Calibri" w:eastAsia="Calibri" w:hAnsi="Calibri"/>
          <w:i/>
          <w:iCs/>
          <w:color w:val="2A6F7F"/>
          <w:sz w:val="24"/>
          <w:szCs w:val="24"/>
        </w:rPr>
        <w:t xml:space="preserve">Common elbow conditions, forearm and shoulder patterns, and a careful Structural Integration approach</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Elbow pain is frequently related to tendon overload at the outer or inner elbow — commonly called tennis elbow or golfer’s elbow. Symptoms often arise from repetitive gripping, lifting, or wrist movements and can linger even after activity is reduced. Medical evaluation and activity modification form the foundation of care. Soft-tissue work can sometimes support recovery by addressing related restriction in the forearm, shoulder, and neck once the acute phase has settled and a diagnosis is in place.</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do not diagnose or treat acute elbow injuries or progressive nerve compression. We work with people who already have medical guidance, focusing on the broader fascial and postural patterns that load the elbow. Sessions are gentle near the tendon insertion itself. Structural Integration is complementary and does not replace physical therapy, bracing, or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Common elbow presentations</w:t>
      </w:r>
    </w:p>
    <w:p>
      <w:pPr>
        <w:spacing w:after="200" w:before="0" w:line="276"/>
      </w:pPr>
      <w:r>
        <w:rPr>
          <w:rFonts w:ascii="Calibri" w:cs="Calibri" w:eastAsia="Calibri" w:hAnsi="Calibri"/>
          <w:b w:val="false"/>
          <w:bCs w:val="false"/>
          <w:i w:val="false"/>
          <w:iCs w:val="false"/>
          <w:color w:val="3D4A52"/>
          <w:sz w:val="22"/>
          <w:szCs w:val="22"/>
        </w:rPr>
        <w:t xml:space="preserve">Two of the most frequent overuse conditions are:</w:t>
      </w:r>
    </w:p>
    <w:p>
      <w:pPr>
        <w:pStyle w:val="ListParagraph"/>
        <w:numPr>
          <w:ilvl w:val="0"/>
          <w:numId w:val="2"/>
        </w:numPr>
        <w:spacing w:after="80" w:line="276"/>
      </w:pPr>
      <w:r>
        <w:rPr>
          <w:rFonts w:ascii="Calibri" w:cs="Calibri" w:eastAsia="Calibri" w:hAnsi="Calibri"/>
          <w:b/>
          <w:bCs/>
          <w:color w:val="3D4A52"/>
          <w:sz w:val="22"/>
          <w:szCs w:val="22"/>
        </w:rPr>
        <w:t xml:space="preserve">Lateral elbow tendinopathy (tennis elbow). </w:t>
      </w:r>
      <w:r>
        <w:rPr>
          <w:rFonts w:ascii="Calibri" w:cs="Calibri" w:eastAsia="Calibri" w:hAnsi="Calibri"/>
          <w:color w:val="3D4A52"/>
          <w:sz w:val="22"/>
          <w:szCs w:val="22"/>
        </w:rPr>
        <w:t xml:space="preserve">Pain on the outer elbow, often worse with gripping, lifting, or extending the wrist.</w:t>
      </w:r>
    </w:p>
    <w:p>
      <w:pPr>
        <w:pStyle w:val="ListParagraph"/>
        <w:numPr>
          <w:ilvl w:val="0"/>
          <w:numId w:val="2"/>
        </w:numPr>
        <w:spacing w:after="80" w:line="276"/>
      </w:pPr>
      <w:r>
        <w:rPr>
          <w:rFonts w:ascii="Calibri" w:cs="Calibri" w:eastAsia="Calibri" w:hAnsi="Calibri"/>
          <w:b/>
          <w:bCs/>
          <w:color w:val="3D4A52"/>
          <w:sz w:val="22"/>
          <w:szCs w:val="22"/>
        </w:rPr>
        <w:t xml:space="preserve">Medial elbow tendinopathy (golfer’s elbow). </w:t>
      </w:r>
      <w:r>
        <w:rPr>
          <w:rFonts w:ascii="Calibri" w:cs="Calibri" w:eastAsia="Calibri" w:hAnsi="Calibri"/>
          <w:color w:val="3D4A52"/>
          <w:sz w:val="22"/>
          <w:szCs w:val="22"/>
        </w:rPr>
        <w:t xml:space="preserve">Pain on the inner elbow, often related to gripping, flexing the wrist, or forearm rotation.</w:t>
      </w:r>
    </w:p>
    <w:p>
      <w:pPr>
        <w:spacing w:after="200" w:before="0" w:line="276"/>
      </w:pPr>
      <w:r>
        <w:rPr>
          <w:rFonts w:ascii="Calibri" w:cs="Calibri" w:eastAsia="Calibri" w:hAnsi="Calibri"/>
          <w:b w:val="false"/>
          <w:bCs w:val="false"/>
          <w:i w:val="false"/>
          <w:iCs w:val="false"/>
          <w:color w:val="3D4A52"/>
          <w:sz w:val="22"/>
          <w:szCs w:val="22"/>
        </w:rPr>
        <w:t xml:space="preserve">Other sources of elbow discomfort can include residual restriction after a strain, postural overload from desk work, or referral from the neck or shoulder. Accurate diagnosis belongs with a physician or physical therapist. Most cases improve with conservative care over weeks to months, including relative rest from aggravating activities, gradual loading exercises, and, when helpful, a counterforce brace.</w:t>
      </w:r>
    </w:p>
    <w:p>
      <w:pPr>
        <w:pStyle w:val="Heading3"/>
        <w:spacing w:after="100" w:before="260"/>
      </w:pPr>
      <w:r>
        <w:rPr>
          <w:rFonts w:ascii="Calibri" w:cs="Calibri" w:eastAsia="Calibri" w:hAnsi="Calibri"/>
          <w:b/>
          <w:bCs/>
          <w:color w:val="2A6F7F"/>
          <w:sz w:val="24"/>
          <w:szCs w:val="24"/>
        </w:rPr>
        <w:t xml:space="preserve">When to prioritize medical care</w:t>
      </w:r>
    </w:p>
    <w:p>
      <w:pPr>
        <w:spacing w:after="200" w:before="0" w:line="276"/>
      </w:pPr>
      <w:r>
        <w:rPr>
          <w:rFonts w:ascii="Calibri" w:cs="Calibri" w:eastAsia="Calibri" w:hAnsi="Calibri"/>
          <w:b w:val="false"/>
          <w:bCs w:val="false"/>
          <w:i w:val="false"/>
          <w:iCs w:val="false"/>
          <w:color w:val="3D4A52"/>
          <w:sz w:val="22"/>
          <w:szCs w:val="22"/>
        </w:rPr>
        <w:t xml:space="preserve">Seek prompt evaluation for pain after significant trauma, sudden swelling, heat or redness around the joint, locking or catching, numbness or tingling into the hand, progressive weakness, or symptoms that are rapidly worsening. These signs may indicate fracture, joint issues, or nerve involvement that needs medical assessment. Soft-tissue work is not appropriate during an acute inflammatory flare or when neurological symptoms are present.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the elbow is rarely isolated</w:t>
      </w:r>
    </w:p>
    <w:p>
      <w:pPr>
        <w:spacing w:after="200" w:before="0" w:line="276"/>
      </w:pPr>
      <w:r>
        <w:rPr>
          <w:rFonts w:ascii="Calibri" w:cs="Calibri" w:eastAsia="Calibri" w:hAnsi="Calibri"/>
          <w:b w:val="false"/>
          <w:bCs w:val="false"/>
          <w:i w:val="false"/>
          <w:iCs w:val="false"/>
          <w:color w:val="3D4A52"/>
          <w:sz w:val="22"/>
          <w:szCs w:val="22"/>
        </w:rPr>
        <w:t xml:space="preserve">The muscles that attach at the elbow originate in the forearm and are influenced by how the shoulder and neck are organized. Protective habits — elevating the shoulder, gripping harder, or altering wrist position — can increase load at the tendon insertion. Restriction higher in the chain often coexists with local forearm tension.</w:t>
      </w:r>
    </w:p>
    <w:p>
      <w:pPr>
        <w:spacing w:after="200" w:before="0" w:line="276"/>
      </w:pPr>
      <w:r>
        <w:rPr>
          <w:rFonts w:ascii="Calibri" w:cs="Calibri" w:eastAsia="Calibri" w:hAnsi="Calibri"/>
          <w:b w:val="false"/>
          <w:bCs w:val="false"/>
          <w:i w:val="false"/>
          <w:iCs w:val="false"/>
          <w:color w:val="3D4A52"/>
          <w:sz w:val="22"/>
          <w:szCs w:val="22"/>
        </w:rPr>
        <w:t xml:space="preserve">Patterns we commonly observe:</w:t>
      </w:r>
    </w:p>
    <w:p>
      <w:pPr>
        <w:pStyle w:val="ListParagraph"/>
        <w:numPr>
          <w:ilvl w:val="0"/>
          <w:numId w:val="2"/>
        </w:numPr>
        <w:spacing w:after="80" w:line="276"/>
      </w:pPr>
      <w:r>
        <w:rPr>
          <w:rFonts w:ascii="Calibri" w:cs="Calibri" w:eastAsia="Calibri" w:hAnsi="Calibri"/>
          <w:b/>
          <w:bCs/>
          <w:color w:val="3D4A52"/>
          <w:sz w:val="22"/>
          <w:szCs w:val="22"/>
        </w:rPr>
        <w:t xml:space="preserve">Dense or restricted forearm flexor or extensor tissue.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Shoulder and scapular positioning that changes how force travels through the arm.</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Neck or upper thoracic restriction that contributes to overall arm load.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Protective gripping and wrist postures that keep the tendon under constant tension.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Local work only at the elbow can miss these contributors and may irritate an already sensitive tendon insertion if pressure is too firm or direct.</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elbow patterns</w:t>
      </w:r>
    </w:p>
    <w:p>
      <w:pPr>
        <w:spacing w:after="200" w:before="0" w:line="276"/>
      </w:pPr>
      <w:r>
        <w:rPr>
          <w:rFonts w:ascii="Calibri" w:cs="Calibri" w:eastAsia="Calibri" w:hAnsi="Calibri"/>
          <w:b w:val="false"/>
          <w:bCs w:val="false"/>
          <w:i w:val="false"/>
          <w:iCs w:val="false"/>
          <w:color w:val="3D4A52"/>
          <w:sz w:val="22"/>
          <w:szCs w:val="22"/>
        </w:rPr>
        <w:t xml:space="preserve">Sessions are offered only after medical evaluation and once the acute phase has settled enough for gentle work. Pressure stays light near the epicondyles; we stop or reduce intensity immediately if pain increases or if numbness or tingling appears. Typical elements include:</w:t>
      </w:r>
    </w:p>
    <w:p>
      <w:pPr>
        <w:pStyle w:val="Heading3"/>
        <w:spacing w:after="100" w:before="260"/>
      </w:pPr>
      <w:r>
        <w:rPr>
          <w:rFonts w:ascii="Calibri" w:cs="Calibri" w:eastAsia="Calibri" w:hAnsi="Calibri"/>
          <w:b/>
          <w:bCs/>
          <w:color w:val="2A6F7F"/>
          <w:sz w:val="24"/>
          <w:szCs w:val="24"/>
        </w:rPr>
        <w:t xml:space="preserve">1. Whole-chain assessment</w:t>
      </w:r>
    </w:p>
    <w:p>
      <w:pPr>
        <w:spacing w:after="200" w:before="0" w:line="276"/>
      </w:pPr>
      <w:r>
        <w:rPr>
          <w:rFonts w:ascii="Calibri" w:cs="Calibri" w:eastAsia="Calibri" w:hAnsi="Calibri"/>
          <w:b w:val="false"/>
          <w:bCs w:val="false"/>
          <w:i w:val="false"/>
          <w:iCs w:val="false"/>
          <w:color w:val="3D4A52"/>
          <w:sz w:val="22"/>
          <w:szCs w:val="22"/>
        </w:rPr>
        <w:t xml:space="preserve">We look at the neck, shoulder, scapula, forearm, and wrist together. Daily tasks and postures are part of the conversation.</w:t>
      </w:r>
    </w:p>
    <w:p>
      <w:pPr>
        <w:pStyle w:val="Heading3"/>
        <w:spacing w:after="100" w:before="260"/>
      </w:pPr>
      <w:r>
        <w:rPr>
          <w:rFonts w:ascii="Calibri" w:cs="Calibri" w:eastAsia="Calibri" w:hAnsi="Calibri"/>
          <w:b/>
          <w:bCs/>
          <w:color w:val="2A6F7F"/>
          <w:sz w:val="24"/>
          <w:szCs w:val="24"/>
        </w:rPr>
        <w:t xml:space="preserve">2. Forearm fascial work</w:t>
      </w:r>
    </w:p>
    <w:p>
      <w:pPr>
        <w:spacing w:after="200" w:before="0" w:line="276"/>
      </w:pPr>
      <w:r>
        <w:rPr>
          <w:rFonts w:ascii="Calibri" w:cs="Calibri" w:eastAsia="Calibri" w:hAnsi="Calibri"/>
          <w:b w:val="false"/>
          <w:bCs w:val="false"/>
          <w:i w:val="false"/>
          <w:iCs w:val="false"/>
          <w:color w:val="3D4A52"/>
          <w:sz w:val="22"/>
          <w:szCs w:val="22"/>
        </w:rPr>
        <w:t xml:space="preserve">Gentle techniques address restricted forearm muscles and fascia that attach at the elbow. The goal is better tissue quality and reduced chronic load rather than deep pressure directly on the tender tendon insertion.</w:t>
      </w:r>
    </w:p>
    <w:p>
      <w:pPr>
        <w:pStyle w:val="Heading3"/>
        <w:spacing w:after="100" w:before="260"/>
      </w:pPr>
      <w:r>
        <w:rPr>
          <w:rFonts w:ascii="Calibri" w:cs="Calibri" w:eastAsia="Calibri" w:hAnsi="Calibri"/>
          <w:b/>
          <w:bCs/>
          <w:color w:val="2A6F7F"/>
          <w:sz w:val="24"/>
          <w:szCs w:val="24"/>
        </w:rPr>
        <w:t xml:space="preserve">3. Shoulder and neck organization</w:t>
      </w:r>
    </w:p>
    <w:p>
      <w:pPr>
        <w:spacing w:after="200" w:before="0" w:line="276"/>
      </w:pPr>
      <w:r>
        <w:rPr>
          <w:rFonts w:ascii="Calibri" w:cs="Calibri" w:eastAsia="Calibri" w:hAnsi="Calibri"/>
          <w:b w:val="false"/>
          <w:bCs w:val="false"/>
          <w:i w:val="false"/>
          <w:iCs w:val="false"/>
          <w:color w:val="3D4A52"/>
          <w:sz w:val="22"/>
          <w:szCs w:val="22"/>
        </w:rPr>
        <w:t xml:space="preserve">When indicated, we address patterns that elevate the shoulder or restrict the upper thorax, since these influence how the arm is used throughout the day.</w:t>
      </w:r>
    </w:p>
    <w:p>
      <w:pPr>
        <w:pStyle w:val="Heading3"/>
        <w:spacing w:after="100" w:before="260"/>
      </w:pPr>
      <w:r>
        <w:rPr>
          <w:rFonts w:ascii="Calibri" w:cs="Calibri" w:eastAsia="Calibri" w:hAnsi="Calibri"/>
          <w:b/>
          <w:bCs/>
          <w:color w:val="2A6F7F"/>
          <w:sz w:val="24"/>
          <w:szCs w:val="24"/>
        </w:rPr>
        <w:t xml:space="preserve">4. Avoiding direct irritation</w:t>
      </w:r>
    </w:p>
    <w:p>
      <w:pPr>
        <w:spacing w:after="200" w:before="0" w:line="276"/>
      </w:pPr>
      <w:r>
        <w:rPr>
          <w:rFonts w:ascii="Calibri" w:cs="Calibri" w:eastAsia="Calibri" w:hAnsi="Calibri"/>
          <w:b w:val="false"/>
          <w:bCs w:val="false"/>
          <w:i w:val="false"/>
          <w:iCs w:val="false"/>
          <w:color w:val="3D4A52"/>
          <w:sz w:val="22"/>
          <w:szCs w:val="22"/>
        </w:rPr>
        <w:t xml:space="preserve">We do not apply firm or prolonged pressure directly over an acutely tender epicondyle. If any technique increases local pain or produces nerve-like symptoms, we stop and adjust.</w:t>
      </w:r>
    </w:p>
    <w:p>
      <w:pPr>
        <w:pStyle w:val="Heading3"/>
        <w:spacing w:after="100" w:before="260"/>
      </w:pPr>
      <w:r>
        <w:rPr>
          <w:rFonts w:ascii="Calibri" w:cs="Calibri" w:eastAsia="Calibri" w:hAnsi="Calibri"/>
          <w:b/>
          <w:bCs/>
          <w:color w:val="2A6F7F"/>
          <w:sz w:val="24"/>
          <w:szCs w:val="24"/>
        </w:rPr>
        <w:t xml:space="preserve">5. Integration with loading and habits</w:t>
      </w:r>
    </w:p>
    <w:p>
      <w:pPr>
        <w:spacing w:after="200" w:before="0" w:line="276"/>
      </w:pPr>
      <w:r>
        <w:rPr>
          <w:rFonts w:ascii="Calibri" w:cs="Calibri" w:eastAsia="Calibri" w:hAnsi="Calibri"/>
          <w:b w:val="false"/>
          <w:bCs w:val="false"/>
          <w:i w:val="false"/>
          <w:iCs w:val="false"/>
          <w:color w:val="3D4A52"/>
          <w:sz w:val="22"/>
          <w:szCs w:val="22"/>
        </w:rPr>
        <w:t xml:space="preserve">We discuss how the session supports the gradual loading exercises and activity changes recommended by your clinician or physical therapist.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guidance supports — and what it does not</w:t>
            </w:r>
          </w:p>
          <w:p>
            <w:pPr>
              <w:spacing w:after="80" w:line="276"/>
            </w:pPr>
            <w:r>
              <w:rPr>
                <w:rFonts w:ascii="Calibri" w:cs="Calibri" w:eastAsia="Calibri" w:hAnsi="Calibri"/>
                <w:color w:val="3D4A52"/>
                <w:sz w:val="20"/>
                <w:szCs w:val="20"/>
              </w:rPr>
              <w:t xml:space="preserve">Relative rest from aggravating activities, gradual progressive loading (often eccentric), and physical therapy are standard approaches for elbow tendinopathy. Most cases improve with conservative care. Some clinical experience suggests that gentle myofascial work on the forearm and related shoulder or neck patterns can reduce secondary tension as a complement. Evidence specific to Structural Integration is limited.</w:t>
            </w:r>
          </w:p>
          <w:p>
            <w:pPr>
              <w:spacing w:after="0" w:line="276"/>
            </w:pPr>
            <w:r>
              <w:rPr>
                <w:rFonts w:ascii="Calibri" w:cs="Calibri" w:eastAsia="Calibri" w:hAnsi="Calibri"/>
                <w:color w:val="3D4A52"/>
                <w:sz w:val="20"/>
                <w:szCs w:val="20"/>
              </w:rPr>
              <w:t xml:space="preserve">Structural Integration does not diagnose elbow conditions, does not replace activity modification or physical therapy, and is not appropriate during acute flares or when nerve symptoms are present. Direct deep pressure over a tender tendon insertion is avoided. Work is complementary and focused on the broader fascial and postural pattern.</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approach may fit</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related to elbow conditions are a potential fit if you:</w:t>
      </w:r>
    </w:p>
    <w:p>
      <w:pPr>
        <w:pStyle w:val="ListParagraph"/>
        <w:numPr>
          <w:ilvl w:val="0"/>
          <w:numId w:val="2"/>
        </w:numPr>
        <w:spacing w:after="80" w:line="276"/>
      </w:pPr>
      <w:r>
        <w:rPr>
          <w:rFonts w:ascii="Calibri" w:cs="Calibri" w:eastAsia="Calibri" w:hAnsi="Calibri"/>
          <w:b/>
          <w:bCs/>
          <w:color w:val="3D4A52"/>
          <w:sz w:val="22"/>
          <w:szCs w:val="22"/>
        </w:rPr>
        <w:t xml:space="preserve">Have a medical diagnosis or are under medical or physical therapy care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relatively stable symptoms that are no longer in an acute flare</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forearm, shoulder, or neck tension that seems related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whole-chain approach that supports your loading and activity plan</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We require discussion of your diagnosis, current symptoms, and any restrictions before scheduling. Progressive weakness, numbness, or a hot, swollen joint means we refer you back to your physician.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w:t>
      </w:r>
    </w:p>
    <w:p>
      <w:pPr>
        <w:pStyle w:val="ListParagraph"/>
        <w:numPr>
          <w:ilvl w:val="0"/>
          <w:numId w:val="2"/>
        </w:numPr>
        <w:spacing w:after="80" w:line="276"/>
      </w:pPr>
      <w:r>
        <w:rPr>
          <w:rFonts w:ascii="Calibri" w:cs="Calibri" w:eastAsia="Calibri" w:hAnsi="Calibri"/>
          <w:b/>
          <w:bCs/>
          <w:color w:val="3D4A52"/>
          <w:sz w:val="22"/>
          <w:szCs w:val="22"/>
        </w:rPr>
        <w:t xml:space="preserve">Medical context first. </w:t>
      </w:r>
      <w:r>
        <w:rPr>
          <w:rFonts w:ascii="Calibri" w:cs="Calibri" w:eastAsia="Calibri" w:hAnsi="Calibri"/>
          <w:color w:val="3D4A52"/>
          <w:sz w:val="22"/>
          <w:szCs w:val="22"/>
        </w:rPr>
        <w:t xml:space="preserve">We need to understand the stage of your symptoms.</w:t>
      </w:r>
    </w:p>
    <w:p>
      <w:pPr>
        <w:pStyle w:val="ListParagraph"/>
        <w:numPr>
          <w:ilvl w:val="0"/>
          <w:numId w:val="2"/>
        </w:numPr>
        <w:spacing w:after="80" w:line="276"/>
      </w:pPr>
      <w:r>
        <w:rPr>
          <w:rFonts w:ascii="Calibri" w:cs="Calibri" w:eastAsia="Calibri" w:hAnsi="Calibri"/>
          <w:b/>
          <w:bCs/>
          <w:color w:val="3D4A52"/>
          <w:sz w:val="22"/>
          <w:szCs w:val="22"/>
        </w:rPr>
        <w:t xml:space="preserve">Light pressure near the elbow. </w:t>
      </w:r>
      <w:r>
        <w:rPr>
          <w:rFonts w:ascii="Calibri" w:cs="Calibri" w:eastAsia="Calibri" w:hAnsi="Calibri"/>
          <w:color w:val="3D4A52"/>
          <w:sz w:val="22"/>
          <w:szCs w:val="22"/>
        </w:rPr>
        <w:t xml:space="preserve">You control intensity. Any increase in pain or nerve symptoms stops the technique.</w:t>
      </w:r>
    </w:p>
    <w:p>
      <w:pPr>
        <w:pStyle w:val="ListParagraph"/>
        <w:numPr>
          <w:ilvl w:val="0"/>
          <w:numId w:val="2"/>
        </w:numPr>
        <w:spacing w:after="80" w:line="276"/>
      </w:pPr>
      <w:r>
        <w:rPr>
          <w:rFonts w:ascii="Calibri" w:cs="Calibri" w:eastAsia="Calibri" w:hAnsi="Calibri"/>
          <w:b/>
          <w:bCs/>
          <w:color w:val="3D4A52"/>
          <w:sz w:val="22"/>
          <w:szCs w:val="22"/>
        </w:rPr>
        <w:t xml:space="preserve">Attention to forearm, shoulder, and neck patterns. </w:t>
      </w:r>
      <w:r>
        <w:rPr>
          <w:rFonts w:ascii="Calibri" w:cs="Calibri" w:eastAsia="Calibri" w:hAnsi="Calibri"/>
          <w:color w:val="3D4A52"/>
          <w:sz w:val="22"/>
          <w:szCs w:val="22"/>
        </w:rPr>
        <w:t xml:space="preserve">Not only the epicondyle itself.</w:t>
      </w:r>
    </w:p>
    <w:p>
      <w:pPr>
        <w:pStyle w:val="ListParagraph"/>
        <w:numPr>
          <w:ilvl w:val="0"/>
          <w:numId w:val="2"/>
        </w:numPr>
        <w:spacing w:after="80" w:line="276"/>
      </w:pPr>
      <w:r>
        <w:rPr>
          <w:rFonts w:ascii="Calibri" w:cs="Calibri" w:eastAsia="Calibri" w:hAnsi="Calibri"/>
          <w:b/>
          <w:bCs/>
          <w:color w:val="3D4A52"/>
          <w:sz w:val="22"/>
          <w:szCs w:val="22"/>
        </w:rPr>
        <w:t xml:space="preserve">Coordination with your care plan. </w:t>
      </w:r>
      <w:r>
        <w:rPr>
          <w:rFonts w:ascii="Calibri" w:cs="Calibri" w:eastAsia="Calibri" w:hAnsi="Calibri"/>
          <w:color w:val="3D4A52"/>
          <w:sz w:val="22"/>
          <w:szCs w:val="22"/>
        </w:rPr>
        <w:t xml:space="preserve">Including activity modification and progressive loading.</w:t>
      </w:r>
    </w:p>
    <w:p>
      <w:pPr>
        <w:spacing w:after="200" w:before="0" w:line="276"/>
      </w:pPr>
      <w:r>
        <w:rPr>
          <w:rFonts w:ascii="Calibri" w:cs="Calibri" w:eastAsia="Calibri" w:hAnsi="Calibri"/>
          <w:b w:val="false"/>
          <w:bCs w:val="false"/>
          <w:i w:val="false"/>
          <w:iCs w:val="false"/>
          <w:color w:val="3D4A52"/>
          <w:sz w:val="22"/>
          <w:szCs w:val="22"/>
        </w:rPr>
        <w:t xml:space="preserve">Wear clothing that allows access to the arm and shoulder. Tell us if symptoms change between sessions or if any technique feels wrong during the work.</w:t>
      </w:r>
    </w:p>
    <w:p>
      <w:pPr>
        <w:pStyle w:val="Heading2"/>
        <w:pBdr>
          <w:bottom w:val="single" w:color="2A6F7F" w:sz="12" w:space="1"/>
        </w:pBdr>
        <w:spacing w:after="160" w:before="360"/>
      </w:pPr>
      <w:r>
        <w:rPr>
          <w:rFonts w:ascii="Calibri" w:cs="Calibri" w:eastAsia="Calibri" w:hAnsi="Calibri"/>
          <w:b/>
          <w:bCs/>
          <w:color w:val="1B3A4B"/>
          <w:sz w:val="28"/>
          <w:szCs w:val="28"/>
        </w:rPr>
        <w:t xml:space="preserve">Supporting the pattern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basic habits continue:</w:t>
      </w:r>
    </w:p>
    <w:p>
      <w:pPr>
        <w:pStyle w:val="ListParagraph"/>
        <w:numPr>
          <w:ilvl w:val="0"/>
          <w:numId w:val="2"/>
        </w:numPr>
        <w:spacing w:after="80" w:line="276"/>
      </w:pPr>
      <w:r>
        <w:rPr>
          <w:rFonts w:ascii="Calibri" w:cs="Calibri" w:eastAsia="Calibri" w:hAnsi="Calibri"/>
          <w:b/>
          <w:bCs/>
          <w:color w:val="3D4A52"/>
          <w:sz w:val="22"/>
          <w:szCs w:val="22"/>
        </w:rPr>
        <w:t xml:space="preserve">Follow the activity modifications and progressive loading recommended by your clinician or physical therapist.</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Take regular breaks from sustained gripping.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Pay attention to shoulder and neck posture during daily tasks.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Use a counterforce brace if it has been recommended for activity.</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If pain becomes sharp and constant, swelling appears, or numbness or weakness develops in the hand, contact your physician. Soft-tissue work is never a reason to delay medical follow-up.</w:t>
      </w:r>
    </w:p>
    <w:p>
      <w:pPr>
        <w:pStyle w:val="Heading2"/>
        <w:pBdr>
          <w:bottom w:val="single" w:color="2A6F7F" w:sz="12" w:space="1"/>
        </w:pBdr>
        <w:spacing w:after="160" w:before="360"/>
      </w:pPr>
      <w:r>
        <w:rPr>
          <w:rFonts w:ascii="Calibri" w:cs="Calibri" w:eastAsia="Calibri" w:hAnsi="Calibri"/>
          <w:b/>
          <w:bCs/>
          <w:color w:val="1B3A4B"/>
          <w:sz w:val="28"/>
          <w:szCs w:val="28"/>
        </w:rPr>
        <w:t xml:space="preserve">A broader view of arm comfort</w:t>
      </w:r>
    </w:p>
    <w:p>
      <w:pPr>
        <w:spacing w:after="200" w:before="0" w:line="276"/>
      </w:pPr>
      <w:r>
        <w:rPr>
          <w:rFonts w:ascii="Calibri" w:cs="Calibri" w:eastAsia="Calibri" w:hAnsi="Calibri"/>
          <w:b w:val="false"/>
          <w:bCs w:val="false"/>
          <w:i w:val="false"/>
          <w:iCs w:val="false"/>
          <w:color w:val="3D4A52"/>
          <w:sz w:val="22"/>
          <w:szCs w:val="22"/>
        </w:rPr>
        <w:t xml:space="preserve">Elbow tendinopathy is centered at the tendon insertion, yet the load that contributes to it often involves the forearm, shoulder, and neck. Once medical evaluation is in place and the acute phase has settled, careful Structural Integration can address those related patterns without applying deep pressure over the sensitive area.</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support people in Cedar City and the surrounding area who are looking for a complementary, whole-chain approach alongside their medical and physical therapy care. If your symptoms are stable and you have medical guidance, let’s discuss whether this fits your current plan.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DISCUSS A SESSION</w:t>
            </w:r>
          </w:p>
          <w:p>
            <w:pPr>
              <w:spacing w:after="120"/>
              <w:jc w:val="center"/>
            </w:pPr>
            <w:r>
              <w:rPr>
                <w:rFonts w:ascii="Calibri" w:cs="Calibri" w:eastAsia="Calibri" w:hAnsi="Calibri"/>
                <w:b/>
                <w:bCs/>
                <w:color w:val="FFFFFF"/>
                <w:sz w:val="28"/>
                <w:szCs w:val="28"/>
              </w:rPr>
              <w:t xml:space="preserve">Questions about complementary support for elbow patterns?</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2xuoev59xpz4ctenq6xna">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Elbow conditions require medical evaluation. Acute trauma, significant swelling, heat or redness, locking, or neurological symptoms (numbness, tingling, weakness) need prompt physician attention. Structural Integration is complementary, does not replace activity modification or physical therapy, and is not appropriate during acute flares. Direct deep pressure over a tender tendon insertion is avoided. Seek medical care if symptoms worsen or new neurological signs appear.</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2xuoev59xpz4ctenq6xna"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2026-10-16T15:33:42.173Z</dcterms:created>
  <dcterms:modified xsi:type="dcterms:W3CDTF">2026-10-16T15:33:42.178Z</dcterms:modified>
</cp:coreProperties>
</file>

<file path=docProps/custom.xml><?xml version="1.0" encoding="utf-8"?>
<Properties xmlns="http://schemas.openxmlformats.org/officeDocument/2006/custom-properties" xmlns:vt="http://schemas.openxmlformats.org/officeDocument/2006/docPropsVTypes"/>
</file>