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line="276"/>
      </w:pPr>
      <w:r>
        <w:rPr>
          <w:rFonts w:ascii="Calibri" w:cs="Calibri" w:eastAsia="Calibri" w:hAnsi="Calibri"/>
          <w:b/>
          <w:bCs/>
          <w:i w:val="false"/>
          <w:iCs w:val="false"/>
          <w:color w:val="C45C26"/>
          <w:sz w:val="18"/>
          <w:szCs w:val="18"/>
        </w:rPr>
        <w:t xml:space="preserve">EDUCATION  ·  RESTLESS LEG SYNDROME</w:t>
      </w:r>
    </w:p>
    <w:p>
      <w:pPr>
        <w:pStyle w:val="Heading1"/>
        <w:spacing w:after="80"/>
      </w:pPr>
      <w:r>
        <w:rPr>
          <w:rFonts w:ascii="Calibri" w:cs="Calibri" w:eastAsia="Calibri" w:hAnsi="Calibri"/>
          <w:b/>
          <w:bCs/>
          <w:color w:val="1B3A4B"/>
          <w:sz w:val="48"/>
          <w:szCs w:val="48"/>
        </w:rPr>
        <w:t xml:space="preserve">Support for Comfort and Calm</w:t>
      </w:r>
    </w:p>
    <w:p>
      <w:pPr>
        <w:pBdr>
          <w:bottom w:val="single" w:color="C45C26" w:sz="18" w:space="4"/>
        </w:pBdr>
        <w:spacing w:after="200"/>
      </w:pPr>
      <w:r>
        <w:rPr>
          <w:rFonts w:ascii="Calibri" w:cs="Calibri" w:eastAsia="Calibri" w:hAnsi="Calibri"/>
          <w:i/>
          <w:iCs/>
          <w:color w:val="2A6F7F"/>
          <w:sz w:val="24"/>
          <w:szCs w:val="24"/>
        </w:rPr>
        <w:t xml:space="preserve">Restless leg syndrome, medical care first, and a cautious complementary approach to soft-tissue work</w:t>
      </w:r>
    </w:p>
    <w:p>
      <w:pPr>
        <w:spacing w:after="280" w:before="0" w:line="276"/>
      </w:pPr>
      <w:r>
        <w:rPr>
          <w:rFonts w:ascii="Calibri" w:cs="Calibri" w:eastAsia="Calibri" w:hAnsi="Calibri"/>
          <w:b w:val="false"/>
          <w:bCs w:val="false"/>
          <w:i w:val="false"/>
          <w:iCs w:val="false"/>
          <w:color w:val="5A6A73"/>
          <w:sz w:val="18"/>
          <w:szCs w:val="18"/>
        </w:rPr>
        <w:t xml:space="preserve">By Clay Hopkin  ·  Muscularity Structural Integration  ·  Cedar City, Utah</w:t>
      </w:r>
    </w:p>
    <w:p>
      <w:pPr>
        <w:spacing w:after="200" w:before="0" w:line="276"/>
      </w:pPr>
      <w:r>
        <w:rPr>
          <w:rFonts w:ascii="Calibri" w:cs="Calibri" w:eastAsia="Calibri" w:hAnsi="Calibri"/>
          <w:b w:val="false"/>
          <w:bCs w:val="false"/>
          <w:i w:val="false"/>
          <w:iCs w:val="false"/>
          <w:color w:val="3D4A52"/>
          <w:sz w:val="22"/>
          <w:szCs w:val="22"/>
        </w:rPr>
        <w:t xml:space="preserve">Restless leg syndrome (RLS) is a neurological condition that creates an uncomfortable urge to move the legs, usually when resting or trying to sleep. Sensations can feel like crawling, aching, pulling, or tingling, and movement temporarily relieves them. Medical evaluation is essential because iron status, other conditions, and medication choices matter. Soft-tissue work is not a treatment for RLS itself, but some people find gentle massage helpful as a supportive measure for temporary comfort and relaxation alongside their medical plan.</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do not diagnose or treat restless leg syndrome. We work with people who already have medical guidance, offering gentle, whole-body sessions focused on general comfort, muscle ease, and nervous-system calming. Structural Integration is complementary only. It does not replace medical evaluation, iron management when indicated, or prescribed treatment.</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restless leg syndrome usually involves</w:t>
      </w:r>
    </w:p>
    <w:p>
      <w:pPr>
        <w:spacing w:after="200" w:before="0" w:line="276"/>
      </w:pPr>
      <w:r>
        <w:rPr>
          <w:rFonts w:ascii="Calibri" w:cs="Calibri" w:eastAsia="Calibri" w:hAnsi="Calibri"/>
          <w:b w:val="false"/>
          <w:bCs w:val="false"/>
          <w:i w:val="false"/>
          <w:iCs w:val="false"/>
          <w:color w:val="3D4A52"/>
          <w:sz w:val="22"/>
          <w:szCs w:val="22"/>
        </w:rPr>
        <w:t xml:space="preserve">RLS is characterized by:</w:t>
      </w:r>
    </w:p>
    <w:p>
      <w:pPr>
        <w:pStyle w:val="ListParagraph"/>
        <w:numPr>
          <w:ilvl w:val="0"/>
          <w:numId w:val="2"/>
        </w:numPr>
        <w:spacing w:after="80" w:line="276"/>
      </w:pPr>
      <w:r>
        <w:rPr>
          <w:rFonts w:ascii="Calibri" w:cs="Calibri" w:eastAsia="Calibri" w:hAnsi="Calibri"/>
          <w:b/>
          <w:bCs/>
          <w:color w:val="3D4A52"/>
          <w:sz w:val="22"/>
          <w:szCs w:val="22"/>
        </w:rPr>
        <w:t xml:space="preserve">An urge to move the legs, </w:t>
      </w:r>
      <w:r>
        <w:rPr>
          <w:rFonts w:ascii="Calibri" w:cs="Calibri" w:eastAsia="Calibri" w:hAnsi="Calibri"/>
          <w:color w:val="3D4A52"/>
          <w:sz w:val="22"/>
          <w:szCs w:val="22"/>
        </w:rPr>
        <w:t xml:space="preserve">often accompanied by uncomfortable sensations.</w:t>
      </w:r>
    </w:p>
    <w:p>
      <w:pPr>
        <w:pStyle w:val="ListParagraph"/>
        <w:numPr>
          <w:ilvl w:val="0"/>
          <w:numId w:val="2"/>
        </w:numPr>
        <w:spacing w:after="80" w:line="276"/>
      </w:pPr>
      <w:r>
        <w:rPr>
          <w:rFonts w:ascii="Calibri" w:cs="Calibri" w:eastAsia="Calibri" w:hAnsi="Calibri"/>
          <w:b/>
          <w:bCs/>
          <w:color w:val="3D4A52"/>
          <w:sz w:val="22"/>
          <w:szCs w:val="22"/>
        </w:rPr>
        <w:t xml:space="preserve">Symptoms that appear or worsen at rest, </w:t>
      </w:r>
      <w:r>
        <w:rPr>
          <w:rFonts w:ascii="Calibri" w:cs="Calibri" w:eastAsia="Calibri" w:hAnsi="Calibri"/>
          <w:color w:val="3D4A52"/>
          <w:sz w:val="22"/>
          <w:szCs w:val="22"/>
        </w:rPr>
        <w:t xml:space="preserve">especially in the evening or at night.</w:t>
      </w:r>
    </w:p>
    <w:p>
      <w:pPr>
        <w:pStyle w:val="ListParagraph"/>
        <w:numPr>
          <w:ilvl w:val="0"/>
          <w:numId w:val="2"/>
        </w:numPr>
        <w:spacing w:after="80" w:line="276"/>
      </w:pPr>
      <w:r>
        <w:rPr>
          <w:rFonts w:ascii="Calibri" w:cs="Calibri" w:eastAsia="Calibri" w:hAnsi="Calibri"/>
          <w:b/>
          <w:bCs/>
          <w:color w:val="3D4A52"/>
          <w:sz w:val="22"/>
          <w:szCs w:val="22"/>
        </w:rPr>
        <w:t xml:space="preserve">Temporary relief with movement, </w:t>
      </w:r>
      <w:r>
        <w:rPr>
          <w:rFonts w:ascii="Calibri" w:cs="Calibri" w:eastAsia="Calibri" w:hAnsi="Calibri"/>
          <w:color w:val="3D4A52"/>
          <w:sz w:val="22"/>
          <w:szCs w:val="22"/>
        </w:rPr>
        <w:t xml:space="preserve">such as walking or stretching.</w:t>
      </w:r>
    </w:p>
    <w:p>
      <w:pPr>
        <w:pStyle w:val="ListParagraph"/>
        <w:numPr>
          <w:ilvl w:val="0"/>
          <w:numId w:val="2"/>
        </w:numPr>
        <w:spacing w:after="80" w:line="276"/>
      </w:pPr>
      <w:r>
        <w:rPr>
          <w:rFonts w:ascii="Calibri" w:cs="Calibri" w:eastAsia="Calibri" w:hAnsi="Calibri"/>
          <w:b/>
          <w:bCs/>
          <w:color w:val="3D4A52"/>
          <w:sz w:val="22"/>
          <w:szCs w:val="22"/>
        </w:rPr>
        <w:t xml:space="preserve">Sleep disruption </w:t>
      </w:r>
      <w:r>
        <w:rPr>
          <w:rFonts w:ascii="Calibri" w:cs="Calibri" w:eastAsia="Calibri" w:hAnsi="Calibri"/>
          <w:color w:val="3D4A52"/>
          <w:sz w:val="22"/>
          <w:szCs w:val="22"/>
        </w:rPr>
        <w:t xml:space="preserve">when symptoms interfere with falling or staying asleep.</w:t>
      </w:r>
    </w:p>
    <w:p>
      <w:pPr>
        <w:spacing w:after="200" w:before="0" w:line="276"/>
      </w:pPr>
      <w:r>
        <w:rPr>
          <w:rFonts w:ascii="Calibri" w:cs="Calibri" w:eastAsia="Calibri" w:hAnsi="Calibri"/>
          <w:b w:val="false"/>
          <w:bCs w:val="false"/>
          <w:i w:val="false"/>
          <w:iCs w:val="false"/>
          <w:color w:val="3D4A52"/>
          <w:sz w:val="22"/>
          <w:szCs w:val="22"/>
        </w:rPr>
        <w:t xml:space="preserve">The condition can be primary or associated with factors such as iron deficiency, pregnancy, certain medications, or other medical issues. There is no cure, but symptoms can often be managed. Standard care begins with medical assessment, including iron studies, and may include lifestyle measures, iron supplementation when appropriate, and medications such as gabapentinoids for more persistent cases. Diagnosis and treatment decisions belong with a physician.</w:t>
      </w:r>
    </w:p>
    <w:p>
      <w:pPr>
        <w:pStyle w:val="Heading3"/>
        <w:spacing w:after="100" w:before="260"/>
      </w:pPr>
      <w:r>
        <w:rPr>
          <w:rFonts w:ascii="Calibri" w:cs="Calibri" w:eastAsia="Calibri" w:hAnsi="Calibri"/>
          <w:b/>
          <w:bCs/>
          <w:color w:val="2A6F7F"/>
          <w:sz w:val="24"/>
          <w:szCs w:val="24"/>
        </w:rPr>
        <w:t xml:space="preserve">When to prioritize medical care</w:t>
      </w:r>
    </w:p>
    <w:p>
      <w:pPr>
        <w:spacing w:after="200" w:before="0" w:line="276"/>
      </w:pPr>
      <w:r>
        <w:rPr>
          <w:rFonts w:ascii="Calibri" w:cs="Calibri" w:eastAsia="Calibri" w:hAnsi="Calibri"/>
          <w:b w:val="false"/>
          <w:bCs w:val="false"/>
          <w:i w:val="false"/>
          <w:iCs w:val="false"/>
          <w:color w:val="3D4A52"/>
          <w:sz w:val="22"/>
          <w:szCs w:val="22"/>
        </w:rPr>
        <w:t xml:space="preserve">See a physician for symptoms that disrupt sleep or daily function, appear suddenly or worsen quickly, spread beyond the legs, or include pain, numbness, or weakness. Iron status should be checked, and other conditions ruled out. Soft-tissue work is not a substitute for that evaluation and is not appropriate if neurological symptoms are progressive or unexplained.</w:t>
      </w:r>
    </w:p>
    <w:p>
      <w:pPr>
        <w:pStyle w:val="Heading2"/>
        <w:pBdr>
          <w:bottom w:val="single" w:color="2A6F7F" w:sz="12" w:space="1"/>
        </w:pBdr>
        <w:spacing w:after="160" w:before="360"/>
      </w:pPr>
      <w:r>
        <w:rPr>
          <w:rFonts w:ascii="Calibri" w:cs="Calibri" w:eastAsia="Calibri" w:hAnsi="Calibri"/>
          <w:b/>
          <w:bCs/>
          <w:color w:val="1B3A4B"/>
          <w:sz w:val="28"/>
          <w:szCs w:val="28"/>
        </w:rPr>
        <w:t xml:space="preserve">Why soft-tissue work is supportive at best</w:t>
      </w:r>
    </w:p>
    <w:p>
      <w:pPr>
        <w:spacing w:after="200" w:before="0" w:line="276"/>
      </w:pPr>
      <w:r>
        <w:rPr>
          <w:rFonts w:ascii="Calibri" w:cs="Calibri" w:eastAsia="Calibri" w:hAnsi="Calibri"/>
          <w:b w:val="false"/>
          <w:bCs w:val="false"/>
          <w:i w:val="false"/>
          <w:iCs w:val="false"/>
          <w:color w:val="3D4A52"/>
          <w:sz w:val="22"/>
          <w:szCs w:val="22"/>
        </w:rPr>
        <w:t xml:space="preserve">RLS is driven by neurological and, in some cases, iron-related factors. Hands-on work does not address those underlying mechanisms. However, gentle massage of the legs is sometimes listed among lifestyle measures that can provide temporary relief of discomfort and support relaxation for some people. Case reports and small studies suggest possible short-term benefits for comfort and sleep in certain individuals, but evidence is limited and results are not consistent or lasting for everyone.</w:t>
      </w:r>
    </w:p>
    <w:p>
      <w:pPr>
        <w:spacing w:after="200" w:before="0" w:line="276"/>
      </w:pPr>
      <w:r>
        <w:rPr>
          <w:rFonts w:ascii="Calibri" w:cs="Calibri" w:eastAsia="Calibri" w:hAnsi="Calibri"/>
          <w:b w:val="false"/>
          <w:bCs w:val="false"/>
          <w:i w:val="false"/>
          <w:iCs w:val="false"/>
          <w:color w:val="3D4A52"/>
          <w:sz w:val="22"/>
          <w:szCs w:val="22"/>
        </w:rPr>
        <w:t xml:space="preserve">Any session must stay gentle. Aggressive deep work is not indicated and could increase discomfort. The focus is on overall ease and calming rather than treating the condition itself.</w:t>
      </w:r>
    </w:p>
    <w:p>
      <w:pPr>
        <w:pStyle w:val="Heading2"/>
        <w:pBdr>
          <w:bottom w:val="single" w:color="2A6F7F" w:sz="12" w:space="1"/>
        </w:pBdr>
        <w:spacing w:after="160" w:before="360"/>
      </w:pPr>
      <w:r>
        <w:rPr>
          <w:rFonts w:ascii="Calibri" w:cs="Calibri" w:eastAsia="Calibri" w:hAnsi="Calibri"/>
          <w:b/>
          <w:bCs/>
          <w:color w:val="1B3A4B"/>
          <w:sz w:val="28"/>
          <w:szCs w:val="28"/>
        </w:rPr>
        <w:t xml:space="preserve">How a cautious complementary approach can support</w:t>
      </w:r>
    </w:p>
    <w:p>
      <w:pPr>
        <w:spacing w:after="200" w:before="0" w:line="276"/>
      </w:pPr>
      <w:r>
        <w:rPr>
          <w:rFonts w:ascii="Calibri" w:cs="Calibri" w:eastAsia="Calibri" w:hAnsi="Calibri"/>
          <w:b w:val="false"/>
          <w:bCs w:val="false"/>
          <w:i w:val="false"/>
          <w:iCs w:val="false"/>
          <w:color w:val="3D4A52"/>
          <w:sz w:val="22"/>
          <w:szCs w:val="22"/>
        </w:rPr>
        <w:t xml:space="preserve">When offered alongside medical care, gentle sessions may help some people with:</w:t>
      </w:r>
    </w:p>
    <w:p>
      <w:pPr>
        <w:pStyle w:val="ListParagraph"/>
        <w:numPr>
          <w:ilvl w:val="0"/>
          <w:numId w:val="2"/>
        </w:numPr>
        <w:spacing w:after="80" w:line="276"/>
      </w:pPr>
      <w:r>
        <w:rPr>
          <w:rFonts w:ascii="Calibri" w:cs="Calibri" w:eastAsia="Calibri" w:hAnsi="Calibri"/>
          <w:b/>
          <w:bCs/>
          <w:color w:val="3D4A52"/>
          <w:sz w:val="22"/>
          <w:szCs w:val="22"/>
        </w:rPr>
        <w:t xml:space="preserve">Temporary reduction of muscle tension in the legs and hips.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Support for relaxation and sleep hygiene.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Body awareness and a sense of overall comfort.</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Sessions are light, whole-body, and adjusted continuously to comfort. We do not claim to change the neurological drivers of RLS. Work is coordinated with the person’s medical plan and stopped if symptoms increase.</w:t>
      </w:r>
    </w:p>
    <w:p>
      <w:pPr>
        <w:pStyle w:val="Heading3"/>
        <w:spacing w:after="100" w:before="260"/>
      </w:pPr>
      <w:r>
        <w:rPr>
          <w:rFonts w:ascii="Calibri" w:cs="Calibri" w:eastAsia="Calibri" w:hAnsi="Calibri"/>
          <w:b/>
          <w:bCs/>
          <w:color w:val="2A6F7F"/>
          <w:sz w:val="24"/>
          <w:szCs w:val="24"/>
        </w:rPr>
        <w:t xml:space="preserve">What we do not do</w:t>
      </w:r>
    </w:p>
    <w:p>
      <w:pPr>
        <w:pStyle w:val="ListParagraph"/>
        <w:numPr>
          <w:ilvl w:val="0"/>
          <w:numId w:val="2"/>
        </w:numPr>
        <w:spacing w:after="80" w:line="276"/>
      </w:pPr>
      <w:r>
        <w:rPr>
          <w:rFonts w:ascii="Calibri" w:cs="Calibri" w:eastAsia="Calibri" w:hAnsi="Calibri"/>
          <w:b/>
          <w:bCs/>
          <w:color w:val="3D4A52"/>
          <w:sz w:val="22"/>
          <w:szCs w:val="22"/>
        </w:rPr>
        <w:t xml:space="preserve">Diagnose or treat restless leg syndrome.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Replace medical evaluation, iron management, or prescribed medications.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Apply deep or aggressive pressure aimed at “fixing” the symptoms.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Promise lasting resolution of the underlying condition.</w:t>
      </w:r>
      <w:r>
        <w:rPr>
          <w:rFonts w:ascii="Calibri" w:cs="Calibri" w:eastAsia="Calibri" w:hAnsi="Calibri"/>
          <w:color w:val="3D4A52"/>
          <w:sz w:val="22"/>
          <w:szCs w:val="22"/>
        </w:rPr>
        <w:t xml:space="preserve"/>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4C9B8" w:sz="1"/>
              <w:left w:val="single" w:color="D4C9B8" w:sz="1"/>
              <w:bottom w:val="single" w:color="D4C9B8" w:sz="1"/>
              <w:right w:val="single" w:color="D4C9B8" w:sz="1"/>
            </w:tcBorders>
            <w:shd w:fill="E8F0F2" w:val="clear"/>
            <w:tcMar>
              <w:top w:type="dxa" w:w="140"/>
              <w:left w:type="dxa" w:w="180"/>
              <w:bottom w:type="dxa" w:w="140"/>
              <w:right w:type="dxa" w:w="180"/>
            </w:tcMar>
          </w:tcPr>
          <w:p>
            <w:pPr>
              <w:spacing w:after="80"/>
            </w:pPr>
            <w:r>
              <w:rPr>
                <w:rFonts w:ascii="Calibri" w:cs="Calibri" w:eastAsia="Calibri" w:hAnsi="Calibri"/>
                <w:b/>
                <w:bCs/>
                <w:color w:val="1B3A4B"/>
                <w:sz w:val="22"/>
                <w:szCs w:val="22"/>
              </w:rPr>
              <w:t xml:space="preserve">What the guidance supports — and what it does not</w:t>
            </w:r>
          </w:p>
          <w:p>
            <w:pPr>
              <w:spacing w:after="80" w:line="276"/>
            </w:pPr>
            <w:r>
              <w:rPr>
                <w:rFonts w:ascii="Calibri" w:cs="Calibri" w:eastAsia="Calibri" w:hAnsi="Calibri"/>
                <w:color w:val="3D4A52"/>
                <w:sz w:val="20"/>
                <w:szCs w:val="20"/>
              </w:rPr>
              <w:t xml:space="preserve">Medical evaluation, including assessment of iron status, is the foundation of RLS care. Lifestyle measures such as moderate exercise, sleep regularity, and avoiding caffeine, alcohol, and nicotine can help some people. Gentle massage is sometimes mentioned as a supportive option for temporary comfort. Evidence for hands-on work is limited to case reports and small studies; results vary and are often temporary.</w:t>
            </w:r>
          </w:p>
          <w:p>
            <w:pPr>
              <w:spacing w:after="0" w:line="276"/>
            </w:pPr>
            <w:r>
              <w:rPr>
                <w:rFonts w:ascii="Calibri" w:cs="Calibri" w:eastAsia="Calibri" w:hAnsi="Calibri"/>
                <w:color w:val="3D4A52"/>
                <w:sz w:val="20"/>
                <w:szCs w:val="20"/>
              </w:rPr>
              <w:t xml:space="preserve">Structural Integration does not treat the neurological condition, does not replace medical management, and is not appropriate as a primary intervention. Any soft-tissue support is complementary, gentle, and offered only in the context of ongoing physician care.</w:t>
            </w:r>
          </w:p>
        </w:tc>
      </w:tr>
    </w:tbl>
    <w:p>
      <w:pPr>
        <w:spacing w:after="80" w:before="0" w:line="276"/>
      </w:pPr>
      <w:r>
        <w:rPr>
          <w:rFonts w:ascii="Calibri" w:cs="Calibri" w:eastAsia="Calibri" w:hAnsi="Calibri"/>
          <w:b w:val="false"/>
          <w:bCs w:val="false"/>
          <w:i w:val="false"/>
          <w:iCs w:val="false"/>
          <w:color w:val="3D4A52"/>
          <w:sz w:val="22"/>
          <w:szCs w:val="22"/>
        </w:rPr>
        <w:t xml:space="preserve"/>
      </w:r>
    </w:p>
    <w:p>
      <w:pPr>
        <w:pStyle w:val="Heading2"/>
        <w:pBdr>
          <w:bottom w:val="single" w:color="2A6F7F" w:sz="12" w:space="1"/>
        </w:pBdr>
        <w:spacing w:after="160" w:before="360"/>
      </w:pPr>
      <w:r>
        <w:rPr>
          <w:rFonts w:ascii="Calibri" w:cs="Calibri" w:eastAsia="Calibri" w:hAnsi="Calibri"/>
          <w:b/>
          <w:bCs/>
          <w:color w:val="1B3A4B"/>
          <w:sz w:val="28"/>
          <w:szCs w:val="28"/>
        </w:rPr>
        <w:t xml:space="preserve">Who this cautious approach may fit</w:t>
      </w:r>
    </w:p>
    <w:p>
      <w:pPr>
        <w:spacing w:after="200" w:before="0" w:line="276"/>
      </w:pPr>
      <w:r>
        <w:rPr>
          <w:rFonts w:ascii="Calibri" w:cs="Calibri" w:eastAsia="Calibri" w:hAnsi="Calibri"/>
          <w:b w:val="false"/>
          <w:bCs w:val="false"/>
          <w:i w:val="false"/>
          <w:iCs w:val="false"/>
          <w:color w:val="3D4A52"/>
          <w:sz w:val="22"/>
          <w:szCs w:val="22"/>
        </w:rPr>
        <w:t xml:space="preserve">Muscularity Structural Integration serves Cedar City and the surrounding communities. Gentle sessions related to RLS are a potential fit if you:</w:t>
      </w:r>
    </w:p>
    <w:p>
      <w:pPr>
        <w:pStyle w:val="ListParagraph"/>
        <w:numPr>
          <w:ilvl w:val="0"/>
          <w:numId w:val="2"/>
        </w:numPr>
        <w:spacing w:after="80" w:line="276"/>
      </w:pPr>
      <w:r>
        <w:rPr>
          <w:rFonts w:ascii="Calibri" w:cs="Calibri" w:eastAsia="Calibri" w:hAnsi="Calibri"/>
          <w:b/>
          <w:bCs/>
          <w:color w:val="3D4A52"/>
          <w:sz w:val="22"/>
          <w:szCs w:val="22"/>
        </w:rPr>
        <w:t xml:space="preserve">Have a medical diagnosis and are under physician care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Are looking for supportive comfort and relaxation alongside your medical plan</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Prefer light, whole-body work rather than aggressive techniques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Understand that any benefit is temporary and complementary</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We require discussion of your diagnosis, current symptoms, medications, and iron status or other relevant medical details before scheduling. Progressive neurological symptoms mean we refer you back to your physician.</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to expect</w:t>
      </w:r>
    </w:p>
    <w:p>
      <w:pPr>
        <w:pStyle w:val="ListParagraph"/>
        <w:numPr>
          <w:ilvl w:val="0"/>
          <w:numId w:val="2"/>
        </w:numPr>
        <w:spacing w:after="80" w:line="276"/>
      </w:pPr>
      <w:r>
        <w:rPr>
          <w:rFonts w:ascii="Calibri" w:cs="Calibri" w:eastAsia="Calibri" w:hAnsi="Calibri"/>
          <w:b/>
          <w:bCs/>
          <w:color w:val="3D4A52"/>
          <w:sz w:val="22"/>
          <w:szCs w:val="22"/>
        </w:rPr>
        <w:t xml:space="preserve">Medical context first. </w:t>
      </w:r>
      <w:r>
        <w:rPr>
          <w:rFonts w:ascii="Calibri" w:cs="Calibri" w:eastAsia="Calibri" w:hAnsi="Calibri"/>
          <w:color w:val="3D4A52"/>
          <w:sz w:val="22"/>
          <w:szCs w:val="22"/>
        </w:rPr>
        <w:t xml:space="preserve">We need to understand your care plan.</w:t>
      </w:r>
    </w:p>
    <w:p>
      <w:pPr>
        <w:pStyle w:val="ListParagraph"/>
        <w:numPr>
          <w:ilvl w:val="0"/>
          <w:numId w:val="2"/>
        </w:numPr>
        <w:spacing w:after="80" w:line="276"/>
      </w:pPr>
      <w:r>
        <w:rPr>
          <w:rFonts w:ascii="Calibri" w:cs="Calibri" w:eastAsia="Calibri" w:hAnsi="Calibri"/>
          <w:b/>
          <w:bCs/>
          <w:color w:val="3D4A52"/>
          <w:sz w:val="22"/>
          <w:szCs w:val="22"/>
        </w:rPr>
        <w:t xml:space="preserve">Very gentle pressure. </w:t>
      </w:r>
      <w:r>
        <w:rPr>
          <w:rFonts w:ascii="Calibri" w:cs="Calibri" w:eastAsia="Calibri" w:hAnsi="Calibri"/>
          <w:color w:val="3D4A52"/>
          <w:sz w:val="22"/>
          <w:szCs w:val="22"/>
        </w:rPr>
        <w:t xml:space="preserve">You control intensity. We stop if discomfort increases.</w:t>
      </w:r>
    </w:p>
    <w:p>
      <w:pPr>
        <w:pStyle w:val="ListParagraph"/>
        <w:numPr>
          <w:ilvl w:val="0"/>
          <w:numId w:val="2"/>
        </w:numPr>
        <w:spacing w:after="80" w:line="276"/>
      </w:pPr>
      <w:r>
        <w:rPr>
          <w:rFonts w:ascii="Calibri" w:cs="Calibri" w:eastAsia="Calibri" w:hAnsi="Calibri"/>
          <w:b/>
          <w:bCs/>
          <w:color w:val="3D4A52"/>
          <w:sz w:val="22"/>
          <w:szCs w:val="22"/>
        </w:rPr>
        <w:t xml:space="preserve">Focus on overall ease and calming. </w:t>
      </w:r>
      <w:r>
        <w:rPr>
          <w:rFonts w:ascii="Calibri" w:cs="Calibri" w:eastAsia="Calibri" w:hAnsi="Calibri"/>
          <w:color w:val="3D4A52"/>
          <w:sz w:val="22"/>
          <w:szCs w:val="22"/>
        </w:rPr>
        <w:t xml:space="preserve">Not on treating the underlying condition.</w:t>
      </w:r>
    </w:p>
    <w:p>
      <w:pPr>
        <w:pStyle w:val="ListParagraph"/>
        <w:numPr>
          <w:ilvl w:val="0"/>
          <w:numId w:val="2"/>
        </w:numPr>
        <w:spacing w:after="80" w:line="276"/>
      </w:pPr>
      <w:r>
        <w:rPr>
          <w:rFonts w:ascii="Calibri" w:cs="Calibri" w:eastAsia="Calibri" w:hAnsi="Calibri"/>
          <w:b/>
          <w:bCs/>
          <w:color w:val="3D4A52"/>
          <w:sz w:val="22"/>
          <w:szCs w:val="22"/>
        </w:rPr>
        <w:t xml:space="preserve">Coordination with your medical care. </w:t>
      </w:r>
      <w:r>
        <w:rPr>
          <w:rFonts w:ascii="Calibri" w:cs="Calibri" w:eastAsia="Calibri" w:hAnsi="Calibri"/>
          <w:color w:val="3D4A52"/>
          <w:sz w:val="22"/>
          <w:szCs w:val="22"/>
        </w:rPr>
        <w:t xml:space="preserve">Sessions support, rather than replace, what your physician recommends.</w:t>
      </w:r>
    </w:p>
    <w:p>
      <w:pPr>
        <w:spacing w:after="200" w:before="0" w:line="276"/>
      </w:pPr>
      <w:r>
        <w:rPr>
          <w:rFonts w:ascii="Calibri" w:cs="Calibri" w:eastAsia="Calibri" w:hAnsi="Calibri"/>
          <w:b w:val="false"/>
          <w:bCs w:val="false"/>
          <w:i w:val="false"/>
          <w:iCs w:val="false"/>
          <w:color w:val="3D4A52"/>
          <w:sz w:val="22"/>
          <w:szCs w:val="22"/>
        </w:rPr>
        <w:t xml:space="preserve">Wear comfortable clothing. Tell us about any changes in symptoms or medications between sessions.</w:t>
      </w:r>
    </w:p>
    <w:p>
      <w:pPr>
        <w:pStyle w:val="Heading2"/>
        <w:pBdr>
          <w:bottom w:val="single" w:color="2A6F7F" w:sz="12" w:space="1"/>
        </w:pBdr>
        <w:spacing w:after="160" w:before="360"/>
      </w:pPr>
      <w:r>
        <w:rPr>
          <w:rFonts w:ascii="Calibri" w:cs="Calibri" w:eastAsia="Calibri" w:hAnsi="Calibri"/>
          <w:b/>
          <w:bCs/>
          <w:color w:val="1B3A4B"/>
          <w:sz w:val="28"/>
          <w:szCs w:val="28"/>
        </w:rPr>
        <w:t xml:space="preserve">Supporting comfort between sessions</w:t>
      </w:r>
    </w:p>
    <w:p>
      <w:pPr>
        <w:spacing w:after="200" w:before="0" w:line="276"/>
      </w:pPr>
      <w:r>
        <w:rPr>
          <w:rFonts w:ascii="Calibri" w:cs="Calibri" w:eastAsia="Calibri" w:hAnsi="Calibri"/>
          <w:b w:val="false"/>
          <w:bCs w:val="false"/>
          <w:i w:val="false"/>
          <w:iCs w:val="false"/>
          <w:color w:val="3D4A52"/>
          <w:sz w:val="22"/>
          <w:szCs w:val="22"/>
        </w:rPr>
        <w:t xml:space="preserve">Hands-on work holds better when basic habits continue:</w:t>
      </w:r>
    </w:p>
    <w:p>
      <w:pPr>
        <w:pStyle w:val="ListParagraph"/>
        <w:numPr>
          <w:ilvl w:val="0"/>
          <w:numId w:val="2"/>
        </w:numPr>
        <w:spacing w:after="80" w:line="276"/>
      </w:pPr>
      <w:r>
        <w:rPr>
          <w:rFonts w:ascii="Calibri" w:cs="Calibri" w:eastAsia="Calibri" w:hAnsi="Calibri"/>
          <w:b/>
          <w:bCs/>
          <w:color w:val="3D4A52"/>
          <w:sz w:val="22"/>
          <w:szCs w:val="22"/>
        </w:rPr>
        <w:t xml:space="preserve">Follow your physician’s recommendations for iron, medications, and lifestyle.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Maintain a regular sleep schedule.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Engage in moderate daytime activity as appropriate.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Limit caffeine, alcohol, and nicotine if they worsen your symptoms.</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If symptoms worsen, sleep disruption increases significantly, or new neurological signs appear, contact your physician. Soft-tissue work is never a reason to delay medical follow-up.</w:t>
      </w:r>
    </w:p>
    <w:p>
      <w:pPr>
        <w:pStyle w:val="Heading2"/>
        <w:pBdr>
          <w:bottom w:val="single" w:color="2A6F7F" w:sz="12" w:space="1"/>
        </w:pBdr>
        <w:spacing w:after="160" w:before="360"/>
      </w:pPr>
      <w:r>
        <w:rPr>
          <w:rFonts w:ascii="Calibri" w:cs="Calibri" w:eastAsia="Calibri" w:hAnsi="Calibri"/>
          <w:b/>
          <w:bCs/>
          <w:color w:val="1B3A4B"/>
          <w:sz w:val="28"/>
          <w:szCs w:val="28"/>
        </w:rPr>
        <w:t xml:space="preserve">A supportive option alongside medical care</w:t>
      </w:r>
    </w:p>
    <w:p>
      <w:pPr>
        <w:spacing w:after="200" w:before="0" w:line="276"/>
      </w:pPr>
      <w:r>
        <w:rPr>
          <w:rFonts w:ascii="Calibri" w:cs="Calibri" w:eastAsia="Calibri" w:hAnsi="Calibri"/>
          <w:b w:val="false"/>
          <w:bCs w:val="false"/>
          <w:i w:val="false"/>
          <w:iCs w:val="false"/>
          <w:color w:val="3D4A52"/>
          <w:sz w:val="22"/>
          <w:szCs w:val="22"/>
        </w:rPr>
        <w:t xml:space="preserve">Restless leg syndrome is managed primarily through medical evaluation and appropriate treatment. Gentle soft-tissue work can sometimes offer temporary comfort and support for relaxation for people who are already under physician care.</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only offer light, complementary sessions for people with RLS, and only with clear medical context. If you have a diagnosis, are under appropriate care, and want to explore whether cautious soft-tissue support could fit into your plan, contact us to discuss specifics before booking.</w:t>
      </w:r>
    </w:p>
    <w:p>
      <w:pPr>
        <w:spacing w:after="80" w:before="200"/>
      </w:pP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2A6F7F" w:sz="8"/>
              <w:left w:val="single" w:color="2A6F7F" w:sz="8"/>
              <w:bottom w:val="single" w:color="2A6F7F" w:sz="8"/>
              <w:right w:val="single" w:color="2A6F7F" w:sz="8"/>
            </w:tcBorders>
            <w:shd w:fill="1B3A4B" w:val="clear"/>
            <w:tcMar>
              <w:top w:type="dxa" w:w="200"/>
              <w:left w:type="dxa" w:w="240"/>
              <w:bottom w:type="dxa" w:w="200"/>
              <w:right w:type="dxa" w:w="240"/>
            </w:tcMar>
          </w:tcPr>
          <w:p>
            <w:pPr>
              <w:spacing w:after="80"/>
              <w:jc w:val="center"/>
            </w:pPr>
            <w:r>
              <w:rPr>
                <w:rFonts w:ascii="Calibri" w:cs="Calibri" w:eastAsia="Calibri" w:hAnsi="Calibri"/>
                <w:b/>
                <w:bCs/>
                <w:color w:val="E8C9A8"/>
                <w:sz w:val="18"/>
                <w:szCs w:val="18"/>
              </w:rPr>
              <w:t xml:space="preserve">DISCUSS A SESSION</w:t>
            </w:r>
          </w:p>
          <w:p>
            <w:pPr>
              <w:spacing w:after="120"/>
              <w:jc w:val="center"/>
            </w:pPr>
            <w:r>
              <w:rPr>
                <w:rFonts w:ascii="Calibri" w:cs="Calibri" w:eastAsia="Calibri" w:hAnsi="Calibri"/>
                <w:b/>
                <w:bCs/>
                <w:color w:val="FFFFFF"/>
                <w:sz w:val="28"/>
                <w:szCs w:val="28"/>
              </w:rPr>
              <w:t xml:space="preserve">Questions about gentle support alongside RLS care?</w:t>
            </w:r>
          </w:p>
          <w:p>
            <w:pPr>
              <w:spacing w:after="80"/>
              <w:jc w:val="center"/>
            </w:pPr>
            <w:r>
              <w:rPr>
                <w:rFonts w:ascii="Calibri" w:cs="Calibri" w:eastAsia="Calibri" w:hAnsi="Calibri"/>
                <w:color w:val="D4E4E8"/>
                <w:sz w:val="20"/>
                <w:szCs w:val="20"/>
              </w:rPr>
              <w:t xml:space="preserve">Muscularity Structural Integration  ·  Cedar City, Utah</w:t>
            </w:r>
          </w:p>
          <w:p>
            <w:pPr>
              <w:spacing w:after="40"/>
              <w:jc w:val="center"/>
            </w:pPr>
            <w:r>
              <w:rPr>
                <w:rFonts w:ascii="Calibri" w:cs="Calibri" w:eastAsia="Calibri" w:hAnsi="Calibri"/>
                <w:b/>
                <w:bCs/>
                <w:color w:val="FFFFFF"/>
                <w:sz w:val="22"/>
                <w:szCs w:val="22"/>
              </w:rPr>
              <w:t xml:space="preserve">Call or text 435-704-2326</w:t>
            </w:r>
          </w:p>
          <w:p>
            <w:pPr>
              <w:spacing w:after="40"/>
              <w:jc w:val="center"/>
            </w:pPr>
            <w:hyperlink w:history="1" r:id="rIdotdyj9iknevjfpsmyog_h">
              <w:r>
                <w:rPr>
                  <w:rFonts w:ascii="Calibri" w:cs="Calibri" w:eastAsia="Calibri" w:hAnsi="Calibri"/>
                  <w:color w:val="E8C9A8"/>
                  <w:sz w:val="20"/>
                  <w:szCs w:val="20"/>
                  <w:u w:val="single"/>
                </w:rPr>
                <w:t xml:space="preserve">muscularitystructuralintegration.janeapp.com</w:t>
              </w:r>
            </w:hyperlink>
          </w:p>
          <w:p>
            <w:pPr>
              <w:spacing w:after="0"/>
              <w:jc w:val="center"/>
            </w:pPr>
            <w:r>
              <w:rPr>
                <w:rFonts w:ascii="Calibri" w:cs="Calibri" w:eastAsia="Calibri" w:hAnsi="Calibri"/>
                <w:color w:val="D4E4E8"/>
                <w:sz w:val="18"/>
                <w:szCs w:val="18"/>
              </w:rPr>
              <w:t xml:space="preserve">470 N 2150 W, Unit 1 Bldg B  ·  muscularitysi@gmail.com</w:t>
            </w:r>
          </w:p>
        </w:tc>
      </w:tr>
    </w:tbl>
    <w:p>
      <w:pPr>
        <w:spacing w:after="200" w:before="0" w:line="276"/>
      </w:pPr>
      <w:r>
        <w:rPr>
          <w:rFonts w:ascii="Calibri" w:cs="Calibri" w:eastAsia="Calibri" w:hAnsi="Calibri"/>
          <w:b w:val="false"/>
          <w:bCs w:val="false"/>
          <w:i w:val="false"/>
          <w:iCs w:val="false"/>
          <w:color w:val="3D4A52"/>
          <w:sz w:val="22"/>
          <w:szCs w:val="22"/>
        </w:rPr>
        <w:t xml:space="preserve"/>
      </w:r>
    </w:p>
    <w:p>
      <w:pPr>
        <w:spacing w:after="80" w:before="0" w:line="276"/>
      </w:pPr>
      <w:r>
        <w:rPr>
          <w:rFonts w:ascii="Calibri" w:cs="Calibri" w:eastAsia="Calibri" w:hAnsi="Calibri"/>
          <w:b w:val="false"/>
          <w:bCs w:val="false"/>
          <w:i/>
          <w:iCs/>
          <w:color w:val="5A6A73"/>
          <w:sz w:val="18"/>
          <w:szCs w:val="18"/>
        </w:rPr>
        <w:t xml:space="preserve">This article is for education. It is not a diagnosis or a treatment plan. Restless leg syndrome requires medical evaluation, including assessment of iron status and other contributing factors. Soft-tissue work is complementary only and does not treat the neurological condition or replace prescribed care. Progressive symptoms, significant sleep disruption, or new neurological signs need physician attention. Seek medical care if symptoms worsen or change.</w:t>
      </w:r>
    </w:p>
    <w:p>
      <w:pPr>
        <w:spacing w:after="0" w:before="0" w:line="276"/>
      </w:pPr>
      <w:r>
        <w:rPr>
          <w:rFonts w:ascii="Calibri" w:cs="Calibri" w:eastAsia="Calibri" w:hAnsi="Calibri"/>
          <w:b w:val="false"/>
          <w:bCs w:val="false"/>
          <w:i w:val="false"/>
          <w:iCs w:val="false"/>
          <w:color w:val="5A6A73"/>
          <w:sz w:val="18"/>
          <w:szCs w:val="18"/>
        </w:rPr>
        <w:t xml:space="preserve">Muscularity Structural Integration  ·  Designed to Move  ·  Serving Cedar City and surrounding communities.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C9B8" w:sz="6" w:space="8"/>
      </w:pBdr>
      <w:tabs>
        <w:tab w:val="right" w:pos="10080"/>
      </w:tabs>
      <w:spacing w:before="80"/>
    </w:pPr>
    <w:r>
      <w:rPr>
        <w:rFonts w:ascii="Calibri" w:cs="Calibri" w:eastAsia="Calibri" w:hAnsi="Calibri"/>
        <w:color w:val="5A6A73"/>
        <w:sz w:val="16"/>
        <w:szCs w:val="16"/>
      </w:rPr>
      <w:t xml:space="preserve">Cedar City, UT  •  435-704-2326</w:t>
    </w:r>
    <w:r>
      <w:rPr>
        <w:rFonts w:ascii="Calibri" w:cs="Calibri" w:eastAsia="Calibri" w:hAnsi="Calibri"/>
        <w:color w:val="5A6A73"/>
        <w:sz w:val="16"/>
        <w:szCs w:val="16"/>
      </w:rPr>
      <w:t xml:space="preserve">	Page </w:t>
    </w:r>
    <w:r>
      <w:rPr>
        <w:rFonts w:ascii="Calibri" w:cs="Calibri" w:eastAsia="Calibri" w:hAnsi="Calibri"/>
        <w:color w:val="5A6A7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2A6F7F" w:sz="8" w:space="6"/>
      </w:pBdr>
      <w:tabs>
        <w:tab w:val="right" w:pos="10080"/>
      </w:tabs>
      <w:spacing w:after="80"/>
    </w:pPr>
    <w:r>
      <w:rPr>
        <w:rFonts w:ascii="Calibri" w:cs="Calibri" w:eastAsia="Calibri" w:hAnsi="Calibri"/>
        <w:b/>
        <w:bCs/>
        <w:color w:val="1B3A4B"/>
        <w:sz w:val="18"/>
        <w:szCs w:val="18"/>
      </w:rPr>
      <w:t xml:space="preserve">Muscularity Structural Integration</w:t>
    </w:r>
    <w:r>
      <w:rPr>
        <w:rFonts w:ascii="Calibri" w:cs="Calibri" w:eastAsia="Calibri" w:hAnsi="Calibri"/>
        <w:i/>
        <w:iCs/>
        <w:color w:val="2A6F7F"/>
        <w:sz w:val="18"/>
        <w:szCs w:val="18"/>
      </w:rPr>
      <w:t xml:space="preserve">	Designed to Move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0"/>
      <w:outlineLvl w:val="0"/>
    </w:pPr>
    <w:rPr>
      <w:rFonts w:ascii="Calibri" w:cs="Calibri" w:eastAsia="Calibri" w:hAnsi="Calibri"/>
      <w:b/>
      <w:bCs/>
      <w:color w:val="1B3A4B"/>
      <w:sz w:val="44"/>
      <w:szCs w:val="44"/>
    </w:rPr>
  </w:style>
  <w:style w:type="paragraph" w:styleId="Heading2">
    <w:name w:val="Heading 2"/>
    <w:basedOn w:val="Normal"/>
    <w:next w:val="Normal"/>
    <w:qFormat/>
    <w:pPr>
      <w:spacing w:after="160" w:before="360"/>
      <w:outlineLvl w:val="1"/>
    </w:pPr>
    <w:rPr>
      <w:rFonts w:ascii="Calibri" w:cs="Calibri" w:eastAsia="Calibri" w:hAnsi="Calibri"/>
      <w:b/>
      <w:bCs/>
      <w:color w:val="1B3A4B"/>
      <w:sz w:val="28"/>
      <w:szCs w:val="28"/>
    </w:rPr>
  </w:style>
  <w:style w:type="paragraph" w:styleId="Heading3">
    <w:name w:val="Heading 3"/>
    <w:basedOn w:val="Normal"/>
    <w:next w:val="Normal"/>
    <w:qFormat/>
    <w:pPr>
      <w:spacing w:after="100" w:before="260"/>
      <w:outlineLvl w:val="2"/>
    </w:pPr>
    <w:rPr>
      <w:rFonts w:ascii="Calibri" w:cs="Calibri" w:eastAsia="Calibri" w:hAnsi="Calibri"/>
      <w:b/>
      <w:bCs/>
      <w:color w:val="2A6F7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otdyj9iknevjfpsmyog_h" Type="http://schemas.openxmlformats.org/officeDocument/2006/relationships/hyperlink" Target="https://muscularitystructuralintegration.janeapp.com/" TargetMode="Externa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2026-10-16T15:44:40.249Z</dcterms:created>
  <dcterms:modified xsi:type="dcterms:W3CDTF">2026-10-16T15:44:40.253Z</dcterms:modified>
</cp:coreProperties>
</file>

<file path=docProps/custom.xml><?xml version="1.0" encoding="utf-8"?>
<Properties xmlns="http://schemas.openxmlformats.org/officeDocument/2006/custom-properties" xmlns:vt="http://schemas.openxmlformats.org/officeDocument/2006/docPropsVTypes"/>
</file>